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53D5E509" w:rsidR="00674FB5" w:rsidRPr="008C67A7" w:rsidRDefault="000D64F2">
            <w:r>
              <w:t>P</w:t>
            </w:r>
            <w:r w:rsidRPr="000D64F2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07E6958E" w:rsidR="00674FB5" w:rsidRPr="008C67A7" w:rsidRDefault="002E5A08" w:rsidP="008C7E70">
            <w:pPr>
              <w:rPr>
                <w:b/>
              </w:rPr>
            </w:pPr>
            <w:r>
              <w:rPr>
                <w:b/>
              </w:rPr>
              <w:t>Merli Nagel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B4A4331" w:rsidR="00674FB5" w:rsidRPr="008C67A7" w:rsidRDefault="00D82392" w:rsidP="00E6611A">
            <w:r w:rsidRPr="008C67A7">
              <w:t>Regioonide osakond</w:t>
            </w:r>
            <w:r w:rsidR="00FE73CE" w:rsidRPr="008C67A7">
              <w:t xml:space="preserve">, </w:t>
            </w:r>
            <w:r w:rsidR="00E6611A">
              <w:t>Põlvamaa-Võrumaa</w:t>
            </w:r>
            <w:r w:rsidR="00FE73CE" w:rsidRPr="008C67A7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1C1D51C" w:rsidR="00674FB5" w:rsidRPr="008C67A7" w:rsidRDefault="00E6611A">
            <w:r>
              <w:t>Põlvamaa-Võrumaa</w:t>
            </w:r>
            <w:r w:rsidR="00FE73CE" w:rsidRPr="008C67A7">
              <w:t xml:space="preserve"> </w:t>
            </w:r>
            <w:r w:rsidR="00CB6843" w:rsidRPr="008C67A7">
              <w:t>büroo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78C4A1C2" w:rsidR="00674FB5" w:rsidRPr="008C67A7" w:rsidRDefault="004C6B63" w:rsidP="00CB6843">
            <w:r w:rsidRPr="008C67A7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19AC0EE8" w:rsidR="00674FB5" w:rsidRPr="008C67A7" w:rsidRDefault="004C6B63">
            <w:r w:rsidRPr="008C67A7">
              <w:t>Peainspektor - koordinaator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7B7012CC" w:rsidR="00635795" w:rsidRPr="008C67A7" w:rsidRDefault="00DE3B23" w:rsidP="00460F90">
      <w:pPr>
        <w:ind w:left="-113"/>
        <w:jc w:val="both"/>
      </w:pPr>
      <w:r>
        <w:t>P</w:t>
      </w:r>
      <w:r w:rsidRPr="001D70A5">
        <w:t>eainspektor</w:t>
      </w:r>
      <w:r>
        <w:t>i</w:t>
      </w:r>
      <w:r w:rsidRPr="008C67A7">
        <w:t xml:space="preserve"> </w:t>
      </w:r>
      <w:r w:rsidR="00136FF2" w:rsidRPr="008C67A7">
        <w:t>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taotlejatelt laekuvate pindala</w:t>
      </w:r>
      <w:r w:rsidR="00B712CD" w:rsidRPr="008C67A7">
        <w:t xml:space="preserve"> </w:t>
      </w:r>
      <w:r w:rsidR="00BC0B4F" w:rsidRPr="008C67A7">
        <w:t>toetustaotluste</w:t>
      </w:r>
      <w:r w:rsidR="003B2E30">
        <w:t xml:space="preserve"> (sh MAK)</w:t>
      </w:r>
      <w:r w:rsidR="00B712CD" w:rsidRPr="008C67A7">
        <w:t xml:space="preserve"> ja registriavalduste vastuvõtmine, dokumentide registreerimine ning sisestamine programmidesse vastavalt protseduurile ja juhendmaterjalidele ning </w:t>
      </w:r>
      <w:r w:rsidR="00136FF2" w:rsidRPr="008C67A7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7B5110C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DE3B23">
        <w:t>p</w:t>
      </w:r>
      <w:r w:rsidR="00DE3B23" w:rsidRPr="00DE3B23">
        <w:t>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0DD84387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3B2E30">
        <w:t xml:space="preserve">(sh MAK ja EMKF) </w:t>
      </w:r>
      <w:r w:rsidRPr="008C67A7">
        <w:t xml:space="preserve">viiakse läbi kliendi juures efektiivselt, ilma põhjendamatute kliendi ja teenistuja ajakuludeta. </w:t>
      </w:r>
      <w:r w:rsidR="00DE3B23" w:rsidRPr="00DE3B23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6AFD8C78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972166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486EB250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01BFED20" w14:textId="77777777" w:rsidR="00674FB5" w:rsidRPr="008C67A7" w:rsidRDefault="00674FB5" w:rsidP="003B2E30">
      <w:pPr>
        <w:ind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176C24">
        <w:tc>
          <w:tcPr>
            <w:tcW w:w="4261" w:type="dxa"/>
          </w:tcPr>
          <w:p w14:paraId="096D3586" w14:textId="77777777" w:rsidR="00674FB5" w:rsidRPr="008C67A7" w:rsidRDefault="00674FB5" w:rsidP="00176C24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176C24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176C24">
        <w:tc>
          <w:tcPr>
            <w:tcW w:w="4261" w:type="dxa"/>
          </w:tcPr>
          <w:p w14:paraId="2B54D58A" w14:textId="77777777" w:rsidR="00C72638" w:rsidRPr="00D80B02" w:rsidRDefault="00C72638" w:rsidP="00176C24">
            <w:r w:rsidRPr="00D80B02">
              <w:t>Töös puudutava seadusandluse tundmine ning uuenduste jälgimine</w:t>
            </w:r>
          </w:p>
          <w:p w14:paraId="7090C694" w14:textId="77777777" w:rsidR="00357DD5" w:rsidRPr="00D80B02" w:rsidRDefault="00357DD5" w:rsidP="00176C24"/>
        </w:tc>
        <w:tc>
          <w:tcPr>
            <w:tcW w:w="4261" w:type="dxa"/>
          </w:tcPr>
          <w:p w14:paraId="7D1F057C" w14:textId="77777777" w:rsidR="00357DD5" w:rsidRPr="00D80B02" w:rsidRDefault="00C72638" w:rsidP="00176C24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3F8735B0" w:rsidR="00C72638" w:rsidRPr="00D80B02" w:rsidRDefault="00C72638" w:rsidP="00176C24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26B30DF" w14:textId="77777777" w:rsidTr="00176C24">
        <w:tc>
          <w:tcPr>
            <w:tcW w:w="4261" w:type="dxa"/>
          </w:tcPr>
          <w:p w14:paraId="33114390" w14:textId="77777777" w:rsidR="00C72638" w:rsidRPr="00D80B02" w:rsidRDefault="00C72638" w:rsidP="00176C24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543FAB05" w:rsidR="00C72638" w:rsidRPr="00D80B02" w:rsidRDefault="00C72638" w:rsidP="00176C24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8B3BD1F" w14:textId="2A09FC47" w:rsidR="0002541D" w:rsidRPr="00D80B02" w:rsidRDefault="00C72638" w:rsidP="00176C24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</w:tc>
      </w:tr>
      <w:tr w:rsidR="00C72638" w:rsidRPr="00D80B02" w14:paraId="42276865" w14:textId="77777777" w:rsidTr="00176C24">
        <w:tc>
          <w:tcPr>
            <w:tcW w:w="4261" w:type="dxa"/>
          </w:tcPr>
          <w:p w14:paraId="653E8FFC" w14:textId="77777777" w:rsidR="00C72638" w:rsidRPr="00D80B02" w:rsidRDefault="00C72638" w:rsidP="00176C24">
            <w:r w:rsidRPr="00D80B02">
              <w:t>Pindalatoetuse taotluste vastuvõtmine, andmete sisestamine programmi</w:t>
            </w:r>
          </w:p>
        </w:tc>
        <w:tc>
          <w:tcPr>
            <w:tcW w:w="4261" w:type="dxa"/>
          </w:tcPr>
          <w:p w14:paraId="60E812D5" w14:textId="5B21D58C" w:rsidR="0002541D" w:rsidRPr="00D80B02" w:rsidRDefault="00C72638" w:rsidP="00176C24">
            <w:pPr>
              <w:numPr>
                <w:ilvl w:val="0"/>
                <w:numId w:val="15"/>
              </w:numPr>
            </w:pPr>
            <w:r w:rsidRPr="00D80B02">
              <w:t>Teenistuja võtab vastu toetustaotlusi, registreerib ning sisestab vastavatesse programmidesse vastavalt protseduurile ja kasutusjuhendile.</w:t>
            </w:r>
          </w:p>
        </w:tc>
      </w:tr>
      <w:tr w:rsidR="00C72638" w:rsidRPr="00D80B02" w14:paraId="7E7BA64D" w14:textId="77777777" w:rsidTr="00176C24">
        <w:tc>
          <w:tcPr>
            <w:tcW w:w="4261" w:type="dxa"/>
          </w:tcPr>
          <w:p w14:paraId="7CDCBD8F" w14:textId="77777777" w:rsidR="00C72638" w:rsidRPr="00D80B02" w:rsidRDefault="00CA55A8" w:rsidP="00176C24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40FEAFF3" w:rsidR="00C72638" w:rsidRPr="00D80B02" w:rsidRDefault="00CA55A8" w:rsidP="00176C24">
            <w:pPr>
              <w:numPr>
                <w:ilvl w:val="0"/>
                <w:numId w:val="1"/>
              </w:numPr>
            </w:pPr>
            <w:r w:rsidRPr="00D80B02">
              <w:t>Teenistuja võtab vastu ja registreerib registriavaldusi ja muid registridokumente ning sisestab vastavatesse programmidesse vastavalt protse</w:t>
            </w:r>
            <w:r w:rsidR="00921BB1">
              <w:t>duuridele ja kasutusjuhenditele;</w:t>
            </w:r>
          </w:p>
          <w:p w14:paraId="69690F45" w14:textId="7F8B09B7" w:rsidR="009A1BB1" w:rsidRPr="00D80B02" w:rsidRDefault="00D80B02" w:rsidP="00176C24">
            <w:pPr>
              <w:numPr>
                <w:ilvl w:val="0"/>
                <w:numId w:val="1"/>
              </w:numPr>
            </w:pPr>
            <w:r w:rsidRPr="00D80B02">
              <w:t>Teenistuja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9A1BB1" w:rsidRPr="00D80B02" w14:paraId="4E246B0E" w14:textId="77777777" w:rsidTr="00176C24">
        <w:tc>
          <w:tcPr>
            <w:tcW w:w="4261" w:type="dxa"/>
          </w:tcPr>
          <w:p w14:paraId="1D664089" w14:textId="7311B67D" w:rsidR="009A1BB1" w:rsidRPr="00D80B02" w:rsidRDefault="009A1BB1" w:rsidP="00176C24">
            <w:r w:rsidRPr="00D80B02">
              <w:t xml:space="preserve">Taotlustoimikute </w:t>
            </w:r>
            <w:r w:rsidR="00D12FCF" w:rsidRPr="00D80B02">
              <w:t>hoidmine</w:t>
            </w:r>
            <w:r w:rsidR="00D12FCF">
              <w:t>,</w:t>
            </w:r>
            <w:r w:rsidR="00D12FCF" w:rsidRPr="00D80B02">
              <w:t xml:space="preserve"> </w:t>
            </w:r>
            <w:r w:rsidRPr="00D80B02">
              <w:t>ettevalmistamine arhiveerimiseks ja üleandmine arhiivi</w:t>
            </w:r>
          </w:p>
        </w:tc>
        <w:tc>
          <w:tcPr>
            <w:tcW w:w="4261" w:type="dxa"/>
          </w:tcPr>
          <w:p w14:paraId="37C6DB2F" w14:textId="5D762FE4" w:rsidR="00D12FCF" w:rsidRPr="00D80B02" w:rsidRDefault="00D12FCF" w:rsidP="00176C24">
            <w:pPr>
              <w:numPr>
                <w:ilvl w:val="0"/>
                <w:numId w:val="15"/>
              </w:numPr>
            </w:pPr>
            <w:r w:rsidRPr="00D80B02">
              <w:t>Taotlustoimikud on kättesaamatud kõrvalistele isikutel</w:t>
            </w:r>
            <w:r w:rsidR="000D4A71">
              <w:t>e ja kaitstud kaotsimineku eest;</w:t>
            </w:r>
          </w:p>
          <w:p w14:paraId="76C6989D" w14:textId="1BF08881" w:rsidR="009A1BB1" w:rsidRPr="00D80B02" w:rsidRDefault="009A1BB1" w:rsidP="00176C24">
            <w:pPr>
              <w:numPr>
                <w:ilvl w:val="0"/>
                <w:numId w:val="15"/>
              </w:numPr>
            </w:pPr>
            <w:r w:rsidRPr="00D80B02">
              <w:t xml:space="preserve">Teenistuja </w:t>
            </w:r>
            <w:r w:rsidR="00D12FCF">
              <w:t xml:space="preserve">kontrollib toimiku </w:t>
            </w:r>
            <w:r w:rsidRPr="00D80B02">
              <w:t xml:space="preserve"> nõuete</w:t>
            </w:r>
            <w:r w:rsidR="00D12FCF">
              <w:t>le vastavust ja valmistab ette</w:t>
            </w:r>
            <w:r w:rsidRPr="00D80B02">
              <w:t xml:space="preserve"> </w:t>
            </w:r>
            <w:r w:rsidR="00D12FCF">
              <w:t>selle</w:t>
            </w:r>
            <w:r w:rsidRPr="00D80B02">
              <w:t xml:space="preserve"> arhiveerimiseks;</w:t>
            </w:r>
          </w:p>
          <w:p w14:paraId="2B7BF9A1" w14:textId="74CBD091" w:rsidR="009A1BB1" w:rsidRPr="00D80B02" w:rsidRDefault="009A1BB1" w:rsidP="00176C24">
            <w:pPr>
              <w:numPr>
                <w:ilvl w:val="0"/>
                <w:numId w:val="15"/>
              </w:numPr>
            </w:pPr>
            <w:r w:rsidRPr="00D80B02">
              <w:t>Teenistuja annab toimikud üle arhiivi eest vastutavale teenistujale vastavaks tähtajaks.</w:t>
            </w:r>
          </w:p>
        </w:tc>
      </w:tr>
      <w:tr w:rsidR="00C72638" w:rsidRPr="00D80B02" w14:paraId="572BD01A" w14:textId="77777777" w:rsidTr="00176C24">
        <w:tc>
          <w:tcPr>
            <w:tcW w:w="4261" w:type="dxa"/>
          </w:tcPr>
          <w:p w14:paraId="662BE28F" w14:textId="72F81C3B" w:rsidR="00C72638" w:rsidRPr="00D80B02" w:rsidRDefault="00C72638" w:rsidP="00176C24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5771456D" w:rsidR="00C72638" w:rsidRPr="00D80B02" w:rsidRDefault="00C72638" w:rsidP="00176C24">
            <w:pPr>
              <w:numPr>
                <w:ilvl w:val="0"/>
                <w:numId w:val="12"/>
              </w:numPr>
            </w:pPr>
            <w:r w:rsidRPr="00D80B02">
              <w:t xml:space="preserve">Teenistuja teostab toetustaotluste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176C24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176C24">
        <w:tc>
          <w:tcPr>
            <w:tcW w:w="4261" w:type="dxa"/>
          </w:tcPr>
          <w:p w14:paraId="46DB5EA5" w14:textId="0B7FC3EB" w:rsidR="00C72638" w:rsidRPr="00D80B02" w:rsidRDefault="00C72638" w:rsidP="00176C24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176C24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176C24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7AE0997" w14:textId="172E01BE" w:rsidR="00C72638" w:rsidRPr="00D80B02" w:rsidRDefault="00C72638" w:rsidP="00176C24">
            <w:pPr>
              <w:numPr>
                <w:ilvl w:val="0"/>
                <w:numId w:val="12"/>
              </w:numPr>
            </w:pPr>
            <w:r w:rsidRPr="00D80B02">
              <w:t>Kahtluste või ebaselguste korral on teenistuja fikseerinud olukorra kirjelduse kirjalikult, konsulteerinud büroo juhatajaga või peainspektor-</w:t>
            </w:r>
            <w:r w:rsidRPr="00D80B02">
              <w:lastRenderedPageBreak/>
              <w:t xml:space="preserve">koordinaatoriga 1 tööpäeva jooksul ja toiminud vastavalt </w:t>
            </w:r>
            <w:r w:rsidR="00C036D2">
              <w:t>saadud instruktsioonidele;</w:t>
            </w:r>
          </w:p>
          <w:p w14:paraId="6B1F8B68" w14:textId="1213D924" w:rsidR="009A1BB1" w:rsidRPr="00D80B02" w:rsidRDefault="00DD5BDD" w:rsidP="00176C24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708F108C" w14:textId="77777777" w:rsidTr="00176C24">
        <w:tc>
          <w:tcPr>
            <w:tcW w:w="4261" w:type="dxa"/>
          </w:tcPr>
          <w:p w14:paraId="4872AEC8" w14:textId="77777777" w:rsidR="00D70FDB" w:rsidRPr="00D80B02" w:rsidRDefault="00D70FDB" w:rsidP="00176C24">
            <w:r w:rsidRPr="00D80B02">
              <w:lastRenderedPageBreak/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176C24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176C24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176C24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176C24">
            <w:r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176C24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176C24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176C24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176C24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176C24">
        <w:tc>
          <w:tcPr>
            <w:tcW w:w="4261" w:type="dxa"/>
          </w:tcPr>
          <w:p w14:paraId="23F60892" w14:textId="77777777" w:rsidR="00F02903" w:rsidRPr="00D80B02" w:rsidRDefault="00F02903" w:rsidP="00176C24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677C0E36" w:rsidR="00F02903" w:rsidRPr="00D80B02" w:rsidRDefault="00C904A1" w:rsidP="00176C24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 xml:space="preserve"> </w:t>
            </w:r>
            <w:r w:rsidR="0054796C">
              <w:t>Kontrolla</w:t>
            </w:r>
            <w:r w:rsidR="00F02903" w:rsidRPr="00D80B02">
              <w:t xml:space="preserve">ruanded on koostatud ja </w:t>
            </w:r>
            <w:r>
              <w:t xml:space="preserve">   </w:t>
            </w:r>
            <w:r w:rsidR="00F02903" w:rsidRPr="00D80B02">
              <w:t xml:space="preserve">esitatud õigeaegselt vastavalt </w:t>
            </w:r>
            <w:r>
              <w:t xml:space="preserve">  </w:t>
            </w:r>
            <w:r w:rsidR="00F02903" w:rsidRPr="00D80B02">
              <w:t xml:space="preserve">protseduuridest tulenevatele nõuetele. </w:t>
            </w:r>
          </w:p>
        </w:tc>
      </w:tr>
      <w:tr w:rsidR="00F02903" w:rsidRPr="00D80B02" w14:paraId="2C6ED735" w14:textId="77777777" w:rsidTr="00176C24">
        <w:tc>
          <w:tcPr>
            <w:tcW w:w="4261" w:type="dxa"/>
          </w:tcPr>
          <w:p w14:paraId="7A07D4BD" w14:textId="77777777" w:rsidR="00F02903" w:rsidRPr="00D80B02" w:rsidRDefault="00F02903" w:rsidP="00176C24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176C24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6EC1FCF" w14:textId="77777777" w:rsidTr="00176C24">
        <w:tc>
          <w:tcPr>
            <w:tcW w:w="4261" w:type="dxa"/>
          </w:tcPr>
          <w:p w14:paraId="3342D276" w14:textId="77777777" w:rsidR="00F02903" w:rsidRPr="00D80B02" w:rsidRDefault="00F02903" w:rsidP="00176C24">
            <w:r w:rsidRPr="00D80B02">
              <w:t>Klienditeenindus</w:t>
            </w:r>
          </w:p>
        </w:tc>
        <w:tc>
          <w:tcPr>
            <w:tcW w:w="4261" w:type="dxa"/>
          </w:tcPr>
          <w:p w14:paraId="2590DA47" w14:textId="77777777" w:rsidR="00F02903" w:rsidRPr="00D80B02" w:rsidRDefault="00F02903" w:rsidP="00176C24">
            <w:pPr>
              <w:numPr>
                <w:ilvl w:val="0"/>
                <w:numId w:val="12"/>
              </w:numPr>
            </w:pPr>
            <w:r w:rsidRPr="00D80B02">
              <w:t>Klienditeeninduse standardite järgimine;</w:t>
            </w:r>
          </w:p>
          <w:p w14:paraId="2AE9659E" w14:textId="49C14358" w:rsidR="00F02903" w:rsidRPr="00D80B02" w:rsidRDefault="00F02903" w:rsidP="00176C24">
            <w:pPr>
              <w:numPr>
                <w:ilvl w:val="0"/>
                <w:numId w:val="12"/>
              </w:numPr>
            </w:pPr>
            <w:r w:rsidRPr="00D80B02">
              <w:t>Oma pädevusse jäävates küsimustes kliendile vahetu informatsiooni andmine</w:t>
            </w:r>
            <w:r w:rsidR="00111ED7">
              <w:t>.</w:t>
            </w:r>
          </w:p>
        </w:tc>
      </w:tr>
      <w:tr w:rsidR="00F02903" w:rsidRPr="00D80B02" w14:paraId="0F1C8136" w14:textId="77777777" w:rsidTr="00176C24">
        <w:tc>
          <w:tcPr>
            <w:tcW w:w="4261" w:type="dxa"/>
          </w:tcPr>
          <w:p w14:paraId="3B8D37FE" w14:textId="04AE99EE" w:rsidR="00F02903" w:rsidRPr="00D80B02" w:rsidRDefault="00111ED7" w:rsidP="00176C24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176C24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176C24">
            <w:pPr>
              <w:numPr>
                <w:ilvl w:val="0"/>
                <w:numId w:val="1"/>
              </w:numPr>
            </w:pPr>
            <w:r w:rsidRPr="00D80B02">
              <w:t xml:space="preserve">Teenistuja on kinni pidanud konfidentsiaalsuse nõudest ja ei ole </w:t>
            </w:r>
            <w:r w:rsidRPr="00D80B02">
              <w:lastRenderedPageBreak/>
              <w:t>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176C24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176C24">
        <w:tc>
          <w:tcPr>
            <w:tcW w:w="4261" w:type="dxa"/>
          </w:tcPr>
          <w:p w14:paraId="53959DFA" w14:textId="77777777" w:rsidR="00F02903" w:rsidRPr="00D80B02" w:rsidRDefault="00F02903" w:rsidP="00176C24">
            <w:r w:rsidRPr="00D80B02">
              <w:lastRenderedPageBreak/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176C24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6178D695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1C3124F8" w:rsidR="00674FB5" w:rsidRPr="008C67A7" w:rsidRDefault="00674FB5" w:rsidP="00EF7698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145A8C83" w:rsidR="00674FB5" w:rsidRPr="00757559" w:rsidRDefault="00DE3B23">
            <w:pPr>
              <w:jc w:val="both"/>
            </w:pPr>
            <w:r w:rsidRPr="00DE3B23">
              <w:t>Peainspektor</w:t>
            </w:r>
            <w:r>
              <w:t>i</w:t>
            </w:r>
            <w:bookmarkStart w:id="0" w:name="_GoBack"/>
            <w:bookmarkEnd w:id="0"/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E64702">
              <w:t>Võru büroos</w:t>
            </w:r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7705EAC0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</w:t>
            </w:r>
            <w:r w:rsidR="00E506E4">
              <w:t>*</w:t>
            </w:r>
            <w:r>
              <w:t>;</w:t>
            </w:r>
          </w:p>
          <w:p w14:paraId="24C1B67E" w14:textId="390BB479" w:rsidR="0054796C" w:rsidRPr="008C67A7" w:rsidRDefault="0054796C">
            <w:pPr>
              <w:numPr>
                <w:ilvl w:val="0"/>
                <w:numId w:val="5"/>
              </w:numPr>
            </w:pPr>
            <w:r>
              <w:t>ATVga liiklemise oskus</w:t>
            </w:r>
            <w:r w:rsidR="00E506E4">
              <w:t>*</w:t>
            </w:r>
            <w:r>
              <w:t xml:space="preserve">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AD54E33" w14:textId="5D8DACE3" w:rsidR="00674FB5" w:rsidRDefault="00E506E4" w:rsidP="00E506E4">
      <w:pPr>
        <w:pStyle w:val="ListParagraph"/>
        <w:ind w:left="360"/>
        <w:jc w:val="both"/>
        <w:rPr>
          <w:bCs/>
        </w:rPr>
      </w:pPr>
      <w:r>
        <w:rPr>
          <w:bCs/>
        </w:rPr>
        <w:t>*</w:t>
      </w:r>
      <w:r w:rsidRPr="00E506E4">
        <w:rPr>
          <w:bCs/>
        </w:rPr>
        <w:t xml:space="preserve"> oskus peab olema pärast PRIA sisekoolituse läbimist omandatud</w:t>
      </w:r>
    </w:p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5425C142" w14:textId="77777777" w:rsidR="00674FB5" w:rsidRPr="00E506E4" w:rsidRDefault="00674FB5">
      <w:pPr>
        <w:jc w:val="both"/>
        <w:rPr>
          <w:bCs/>
        </w:rPr>
      </w:pPr>
    </w:p>
    <w:p w14:paraId="4773ECCC" w14:textId="3035D2E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49475B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1BE92B2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9475B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5B2A6B30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9475B">
        <w:t>Imre Maidla</w:t>
      </w:r>
    </w:p>
    <w:p w14:paraId="65F93B98" w14:textId="77777777" w:rsidR="00674FB5" w:rsidRPr="008C67A7" w:rsidRDefault="00674FB5"/>
    <w:p w14:paraId="257026FD" w14:textId="055EE45C" w:rsidR="00674FB5" w:rsidRPr="008C67A7" w:rsidRDefault="00674FB5">
      <w:r w:rsidRPr="008C67A7">
        <w:t>Kuupäev</w:t>
      </w:r>
      <w:r w:rsidR="00597529" w:rsidRPr="008C67A7">
        <w:t xml:space="preserve">:                     </w:t>
      </w:r>
      <w:r w:rsidRPr="008C67A7">
        <w:tab/>
      </w:r>
      <w:r w:rsidRPr="008C67A7">
        <w:tab/>
      </w:r>
      <w:r w:rsidR="00122598" w:rsidRPr="008C67A7">
        <w:t xml:space="preserve">            </w:t>
      </w:r>
      <w:r w:rsidRPr="008C67A7">
        <w:t>Allkiri</w:t>
      </w:r>
      <w:r w:rsidR="009D5FFA">
        <w:t xml:space="preserve"> </w:t>
      </w:r>
      <w:r w:rsidR="0049475B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0C69F0EB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E5A08">
        <w:t>Merli Nagel</w:t>
      </w:r>
    </w:p>
    <w:p w14:paraId="4B6C58D8" w14:textId="77777777" w:rsidR="00BD1654" w:rsidRPr="008C67A7" w:rsidRDefault="00BD1654"/>
    <w:p w14:paraId="16993C00" w14:textId="468F3C42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9475B">
        <w:t>(allkirjastatud digitaalselt)</w:t>
      </w:r>
    </w:p>
    <w:p w14:paraId="0F9F8433" w14:textId="77777777" w:rsidR="00674FB5" w:rsidRPr="008C67A7" w:rsidRDefault="00674FB5"/>
    <w:sectPr w:rsidR="00674FB5" w:rsidRPr="008C67A7">
      <w:headerReference w:type="default" r:id="rId9"/>
      <w:footerReference w:type="first" r:id="rId10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160C" w14:textId="77777777" w:rsidR="00352717" w:rsidRDefault="00352717">
      <w:r>
        <w:separator/>
      </w:r>
    </w:p>
  </w:endnote>
  <w:endnote w:type="continuationSeparator" w:id="0">
    <w:p w14:paraId="2365FC95" w14:textId="77777777" w:rsidR="00352717" w:rsidRDefault="0035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635B" w14:textId="77777777" w:rsidR="00352717" w:rsidRDefault="00352717">
      <w:r>
        <w:separator/>
      </w:r>
    </w:p>
  </w:footnote>
  <w:footnote w:type="continuationSeparator" w:id="0">
    <w:p w14:paraId="48D30D2E" w14:textId="77777777" w:rsidR="00352717" w:rsidRDefault="0035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5925145" w:rsidR="00674FB5" w:rsidRDefault="002E5A08">
    <w:pPr>
      <w:pStyle w:val="Header"/>
      <w:rPr>
        <w:lang w:val="et-EE"/>
      </w:rPr>
    </w:pPr>
    <w:r>
      <w:rPr>
        <w:lang w:val="et-EE"/>
      </w:rPr>
      <w:t>Merli Nagel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B"/>
    <w:rsid w:val="0002541D"/>
    <w:rsid w:val="00026146"/>
    <w:rsid w:val="0003278B"/>
    <w:rsid w:val="0007012B"/>
    <w:rsid w:val="0007628D"/>
    <w:rsid w:val="00085A44"/>
    <w:rsid w:val="00092E4D"/>
    <w:rsid w:val="000D2934"/>
    <w:rsid w:val="000D4A71"/>
    <w:rsid w:val="000D64F2"/>
    <w:rsid w:val="00111ED7"/>
    <w:rsid w:val="00122598"/>
    <w:rsid w:val="00133C67"/>
    <w:rsid w:val="00136FF2"/>
    <w:rsid w:val="00157635"/>
    <w:rsid w:val="001752D3"/>
    <w:rsid w:val="00176C24"/>
    <w:rsid w:val="00182F45"/>
    <w:rsid w:val="00185384"/>
    <w:rsid w:val="00195322"/>
    <w:rsid w:val="00196976"/>
    <w:rsid w:val="001A18B6"/>
    <w:rsid w:val="001D0612"/>
    <w:rsid w:val="002317AD"/>
    <w:rsid w:val="002737CE"/>
    <w:rsid w:val="002A240C"/>
    <w:rsid w:val="002B180B"/>
    <w:rsid w:val="002B696E"/>
    <w:rsid w:val="002C6983"/>
    <w:rsid w:val="002D5201"/>
    <w:rsid w:val="002D522C"/>
    <w:rsid w:val="002E20A8"/>
    <w:rsid w:val="002E5A08"/>
    <w:rsid w:val="00322A31"/>
    <w:rsid w:val="0032628E"/>
    <w:rsid w:val="003406F1"/>
    <w:rsid w:val="00352717"/>
    <w:rsid w:val="00357DD5"/>
    <w:rsid w:val="00374FF9"/>
    <w:rsid w:val="003B2E30"/>
    <w:rsid w:val="003B3AF7"/>
    <w:rsid w:val="004127F1"/>
    <w:rsid w:val="0041497B"/>
    <w:rsid w:val="00443787"/>
    <w:rsid w:val="00460F90"/>
    <w:rsid w:val="004844D7"/>
    <w:rsid w:val="0049475B"/>
    <w:rsid w:val="004A3E46"/>
    <w:rsid w:val="004C68E1"/>
    <w:rsid w:val="004C6B63"/>
    <w:rsid w:val="004D3082"/>
    <w:rsid w:val="004D775D"/>
    <w:rsid w:val="005072C0"/>
    <w:rsid w:val="0054796C"/>
    <w:rsid w:val="00575251"/>
    <w:rsid w:val="00597529"/>
    <w:rsid w:val="005B3C54"/>
    <w:rsid w:val="005E0EB3"/>
    <w:rsid w:val="005F170F"/>
    <w:rsid w:val="005F41AC"/>
    <w:rsid w:val="00617C2A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702B11"/>
    <w:rsid w:val="00724630"/>
    <w:rsid w:val="00757559"/>
    <w:rsid w:val="00791EE0"/>
    <w:rsid w:val="007A67B8"/>
    <w:rsid w:val="007C64C7"/>
    <w:rsid w:val="007F1D4E"/>
    <w:rsid w:val="007F6B55"/>
    <w:rsid w:val="008339A8"/>
    <w:rsid w:val="00851CDD"/>
    <w:rsid w:val="00854E75"/>
    <w:rsid w:val="008675B4"/>
    <w:rsid w:val="008B04D6"/>
    <w:rsid w:val="008B09F7"/>
    <w:rsid w:val="008C67A7"/>
    <w:rsid w:val="008C7E70"/>
    <w:rsid w:val="008E1FB5"/>
    <w:rsid w:val="008F3EAE"/>
    <w:rsid w:val="008F6963"/>
    <w:rsid w:val="009016D6"/>
    <w:rsid w:val="00915B7C"/>
    <w:rsid w:val="00921BB1"/>
    <w:rsid w:val="00925EB2"/>
    <w:rsid w:val="0094511B"/>
    <w:rsid w:val="00972166"/>
    <w:rsid w:val="00973BD2"/>
    <w:rsid w:val="00983B27"/>
    <w:rsid w:val="009A1BB1"/>
    <w:rsid w:val="009A2D2B"/>
    <w:rsid w:val="009A5CEE"/>
    <w:rsid w:val="009D139E"/>
    <w:rsid w:val="009D5FFA"/>
    <w:rsid w:val="009E52FB"/>
    <w:rsid w:val="009F3FAA"/>
    <w:rsid w:val="00A7407D"/>
    <w:rsid w:val="00A77A54"/>
    <w:rsid w:val="00A92863"/>
    <w:rsid w:val="00AD07D3"/>
    <w:rsid w:val="00AD228F"/>
    <w:rsid w:val="00AF6E1A"/>
    <w:rsid w:val="00B33A9E"/>
    <w:rsid w:val="00B501EB"/>
    <w:rsid w:val="00B53C23"/>
    <w:rsid w:val="00B579B8"/>
    <w:rsid w:val="00B671FE"/>
    <w:rsid w:val="00B712CD"/>
    <w:rsid w:val="00B80076"/>
    <w:rsid w:val="00B9517A"/>
    <w:rsid w:val="00BA36D2"/>
    <w:rsid w:val="00BC0B4F"/>
    <w:rsid w:val="00BD1654"/>
    <w:rsid w:val="00BE6498"/>
    <w:rsid w:val="00C036D2"/>
    <w:rsid w:val="00C3101C"/>
    <w:rsid w:val="00C3241D"/>
    <w:rsid w:val="00C521E9"/>
    <w:rsid w:val="00C570D7"/>
    <w:rsid w:val="00C57666"/>
    <w:rsid w:val="00C65F87"/>
    <w:rsid w:val="00C72638"/>
    <w:rsid w:val="00C738D5"/>
    <w:rsid w:val="00C85F34"/>
    <w:rsid w:val="00C904A1"/>
    <w:rsid w:val="00C9509A"/>
    <w:rsid w:val="00CA0791"/>
    <w:rsid w:val="00CA55A8"/>
    <w:rsid w:val="00CB155B"/>
    <w:rsid w:val="00CB6843"/>
    <w:rsid w:val="00CC5B1B"/>
    <w:rsid w:val="00CC77E9"/>
    <w:rsid w:val="00CF6728"/>
    <w:rsid w:val="00D07AF8"/>
    <w:rsid w:val="00D12FCF"/>
    <w:rsid w:val="00D43847"/>
    <w:rsid w:val="00D70FDB"/>
    <w:rsid w:val="00D80B02"/>
    <w:rsid w:val="00D82392"/>
    <w:rsid w:val="00DB40CE"/>
    <w:rsid w:val="00DC2611"/>
    <w:rsid w:val="00DD2178"/>
    <w:rsid w:val="00DD5BDD"/>
    <w:rsid w:val="00DE3B23"/>
    <w:rsid w:val="00E31066"/>
    <w:rsid w:val="00E43EB7"/>
    <w:rsid w:val="00E47AEA"/>
    <w:rsid w:val="00E506E4"/>
    <w:rsid w:val="00E64702"/>
    <w:rsid w:val="00E6611A"/>
    <w:rsid w:val="00E67A2E"/>
    <w:rsid w:val="00E81D66"/>
    <w:rsid w:val="00EB341C"/>
    <w:rsid w:val="00ED2133"/>
    <w:rsid w:val="00ED25E1"/>
    <w:rsid w:val="00ED70B0"/>
    <w:rsid w:val="00EE6EC2"/>
    <w:rsid w:val="00EF7698"/>
    <w:rsid w:val="00F02903"/>
    <w:rsid w:val="00F03348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B47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F23E-880D-42AF-BBE1-0122920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Merli Nagel</vt:lpstr>
    </vt:vector>
  </TitlesOfParts>
  <Company>PRIA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Merli Nagel</dc:title>
  <dc:creator>kadip</dc:creator>
  <cp:lastModifiedBy>Liisi Ots</cp:lastModifiedBy>
  <cp:revision>2</cp:revision>
  <cp:lastPrinted>2008-01-02T07:27:00Z</cp:lastPrinted>
  <dcterms:created xsi:type="dcterms:W3CDTF">2016-12-19T12:10:00Z</dcterms:created>
  <dcterms:modified xsi:type="dcterms:W3CDTF">2016-12-19T12:10:00Z</dcterms:modified>
</cp:coreProperties>
</file>