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Default="00674FB5"/>
    <w:p w14:paraId="616BCFEA" w14:textId="77777777" w:rsidR="0015357C" w:rsidRPr="008C67A7" w:rsidRDefault="001535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5F601FE0" w:rsidR="00B55E41" w:rsidRPr="008C67A7" w:rsidRDefault="00B55E41" w:rsidP="00B55E41">
            <w:pPr>
              <w:rPr>
                <w:b/>
              </w:rPr>
            </w:pPr>
            <w:r>
              <w:rPr>
                <w:b/>
              </w:rPr>
              <w:t>Kerti Siigur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3026E65C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0E11C800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B4061">
              <w:t>Lääne-Eesti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59DD4CA0" w:rsidR="00674FB5" w:rsidRPr="008C67A7" w:rsidRDefault="002A550D" w:rsidP="002B4061">
            <w:r>
              <w:t>L</w:t>
            </w:r>
            <w:r w:rsidR="002B4061">
              <w:t>ääne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2" w14:textId="4132D9EF" w:rsidR="00674FB5" w:rsidRDefault="00635795" w:rsidP="0015357C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Default="00674FB5" w:rsidP="0079302F">
      <w:pPr>
        <w:ind w:right="-58"/>
      </w:pPr>
    </w:p>
    <w:p w14:paraId="00142C76" w14:textId="77777777" w:rsidR="0015357C" w:rsidRPr="008C67A7" w:rsidRDefault="0015357C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12EB9C58" w:rsidR="00C72638" w:rsidRPr="00D80B02" w:rsidRDefault="00C72638" w:rsidP="006F5CEF">
            <w:r w:rsidRPr="00D80B02">
              <w:t>Töö</w:t>
            </w:r>
            <w:r w:rsidR="00BE525B">
              <w:t>d</w:t>
            </w:r>
            <w:bookmarkStart w:id="0" w:name="_GoBack"/>
            <w:bookmarkEnd w:id="0"/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lastRenderedPageBreak/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0E01160D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 xml:space="preserve">(sh. MAK)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lastRenderedPageBreak/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04D102F9" w14:textId="77777777" w:rsidR="0015357C" w:rsidRDefault="0015357C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 xml:space="preserve">, PRIA põhimäärusest, teenindusstandardist ja </w:t>
            </w:r>
            <w:r w:rsidRPr="00D80B02">
              <w:rPr>
                <w:noProof/>
              </w:rPr>
              <w:lastRenderedPageBreak/>
              <w:t>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7537F43A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E0100F">
              <w:t>Pärnu</w:t>
            </w:r>
            <w:r w:rsidR="00E67684">
              <w:t xml:space="preserve"> büroos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88A4B0A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088A4B0C" w14:textId="77777777" w:rsidR="00674FB5" w:rsidRDefault="00674FB5">
      <w:pPr>
        <w:pStyle w:val="Heading5"/>
        <w:jc w:val="left"/>
        <w:rPr>
          <w:sz w:val="28"/>
          <w:lang w:val="et-EE"/>
        </w:rPr>
      </w:pPr>
    </w:p>
    <w:p w14:paraId="20FA664A" w14:textId="77777777" w:rsidR="0015357C" w:rsidRPr="0015357C" w:rsidRDefault="0015357C" w:rsidP="0015357C"/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lastRenderedPageBreak/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88A4B1D" w14:textId="77777777" w:rsidR="00674FB5" w:rsidRPr="008C67A7" w:rsidRDefault="00674FB5"/>
    <w:p w14:paraId="72A77F52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1F98AAD3" w14:textId="77777777" w:rsidR="00DC60D3" w:rsidRDefault="00DC60D3" w:rsidP="00DC2611"/>
    <w:p w14:paraId="088A4B1E" w14:textId="1ECC52FE" w:rsidR="00674FB5" w:rsidRPr="008C67A7" w:rsidRDefault="00674FB5" w:rsidP="00DC2611">
      <w:pPr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1" w14:textId="77777777" w:rsidR="00674FB5" w:rsidRPr="00E506E4" w:rsidRDefault="00674FB5">
      <w:pPr>
        <w:jc w:val="both"/>
        <w:rPr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lastRenderedPageBreak/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088A4B47" w14:textId="1CFB157A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B4061">
        <w:t>Riina Lepp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B" w14:textId="77777777" w:rsidR="00122598" w:rsidRPr="008C67A7" w:rsidRDefault="00122598">
      <w:pPr>
        <w:jc w:val="both"/>
      </w:pPr>
    </w:p>
    <w:p w14:paraId="2FBBCFAA" w14:textId="77777777" w:rsidR="00286941" w:rsidRDefault="00286941" w:rsidP="005F170F">
      <w:pPr>
        <w:jc w:val="both"/>
      </w:pPr>
    </w:p>
    <w:p w14:paraId="531A6B79" w14:textId="77777777" w:rsidR="00286941" w:rsidRDefault="00286941" w:rsidP="005F170F">
      <w:pPr>
        <w:jc w:val="both"/>
      </w:pPr>
    </w:p>
    <w:p w14:paraId="3799DC12" w14:textId="77777777" w:rsidR="00286941" w:rsidRDefault="00286941" w:rsidP="005F170F">
      <w:pPr>
        <w:jc w:val="both"/>
      </w:pPr>
    </w:p>
    <w:p w14:paraId="249C7396" w14:textId="77777777" w:rsidR="00286941" w:rsidRDefault="00286941" w:rsidP="005F170F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5CE6BAD8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B55E41">
        <w:t>Kerti Siigur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088A4B51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51899" w14:textId="77777777" w:rsidR="00523C34" w:rsidRDefault="00523C34">
      <w:r>
        <w:separator/>
      </w:r>
    </w:p>
  </w:endnote>
  <w:endnote w:type="continuationSeparator" w:id="0">
    <w:p w14:paraId="19907D00" w14:textId="77777777" w:rsidR="00523C34" w:rsidRDefault="0052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5DC18" w14:textId="77777777" w:rsidR="00523C34" w:rsidRDefault="00523C34">
      <w:r>
        <w:separator/>
      </w:r>
    </w:p>
  </w:footnote>
  <w:footnote w:type="continuationSeparator" w:id="0">
    <w:p w14:paraId="32C0096E" w14:textId="77777777" w:rsidR="00523C34" w:rsidRDefault="0052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8" w14:textId="5122637A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6BDA25ED" w14:textId="3CC7B52F" w:rsidR="002134E2" w:rsidRDefault="00B55E41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Kerti Siigur</w:t>
    </w:r>
  </w:p>
  <w:p w14:paraId="44974D28" w14:textId="77777777" w:rsidR="00E0100F" w:rsidRDefault="00E0100F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5AFD9116" w14:textId="77777777" w:rsidR="00A00915" w:rsidRDefault="00A0091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05DBF57D" w14:textId="77777777" w:rsidR="00FA1BC4" w:rsidRDefault="00FA1BC4">
    <w:pPr>
      <w:pStyle w:val="Header"/>
      <w:rPr>
        <w:lang w:val="et-EE"/>
      </w:rPr>
    </w:pP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357C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23C34"/>
    <w:rsid w:val="00530BD2"/>
    <w:rsid w:val="005337E2"/>
    <w:rsid w:val="0054796C"/>
    <w:rsid w:val="005773CE"/>
    <w:rsid w:val="00594954"/>
    <w:rsid w:val="005953CE"/>
    <w:rsid w:val="00597529"/>
    <w:rsid w:val="005B3C54"/>
    <w:rsid w:val="005D4AD0"/>
    <w:rsid w:val="005F170F"/>
    <w:rsid w:val="005F41AC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73DC0"/>
    <w:rsid w:val="00A7407D"/>
    <w:rsid w:val="00A77A54"/>
    <w:rsid w:val="00A92863"/>
    <w:rsid w:val="00A94DC5"/>
    <w:rsid w:val="00AD228F"/>
    <w:rsid w:val="00AF6E1A"/>
    <w:rsid w:val="00B33A9E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525B"/>
    <w:rsid w:val="00BE6498"/>
    <w:rsid w:val="00C036D2"/>
    <w:rsid w:val="00C0466B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31F6-1810-439B-8F7E-31EAA83F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853</Words>
  <Characters>7309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Kerti Siigur</vt:lpstr>
    </vt:vector>
  </TitlesOfParts>
  <Company>PRIA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Kerti Siigur</dc:title>
  <dc:creator>Marina Sultanjants</dc:creator>
  <cp:lastModifiedBy>Tiiu Klement</cp:lastModifiedBy>
  <cp:revision>3</cp:revision>
  <cp:lastPrinted>2008-01-02T07:27:00Z</cp:lastPrinted>
  <dcterms:created xsi:type="dcterms:W3CDTF">2019-03-05T12:34:00Z</dcterms:created>
  <dcterms:modified xsi:type="dcterms:W3CDTF">2019-03-05T12:38:00Z</dcterms:modified>
</cp:coreProperties>
</file>