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FA6AB" w14:textId="77777777" w:rsidR="00D64152" w:rsidRPr="000F45D4" w:rsidRDefault="00D64152" w:rsidP="001447B7">
      <w:pPr>
        <w:pStyle w:val="Heading1"/>
        <w:jc w:val="center"/>
      </w:pPr>
      <w:r w:rsidRPr="000F45D4">
        <w:t>Põllumajanduse Registrite ja Informatsiooni Amet</w:t>
      </w:r>
    </w:p>
    <w:p w14:paraId="1F1FA6AC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1F1FA6AD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1F1FA6B0" w14:textId="77777777" w:rsidTr="0094353B">
        <w:tc>
          <w:tcPr>
            <w:tcW w:w="4644" w:type="dxa"/>
          </w:tcPr>
          <w:p w14:paraId="1F1FA6AE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1F1FA6AF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1F1FA6B3" w14:textId="77777777" w:rsidTr="0094353B">
        <w:tc>
          <w:tcPr>
            <w:tcW w:w="4644" w:type="dxa"/>
          </w:tcPr>
          <w:p w14:paraId="1F1FA6B1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1F1FA6B2" w14:textId="77777777" w:rsidR="00D64152" w:rsidRPr="00DB0ECE" w:rsidRDefault="00F45D09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Karin Kajak</w:t>
            </w:r>
          </w:p>
        </w:tc>
      </w:tr>
      <w:tr w:rsidR="00D64152" w:rsidRPr="00DB0ECE" w14:paraId="1F1FA6B6" w14:textId="77777777" w:rsidTr="0094353B">
        <w:tc>
          <w:tcPr>
            <w:tcW w:w="4644" w:type="dxa"/>
          </w:tcPr>
          <w:p w14:paraId="1F1FA6B4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1F1FA6B5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1F1FA6B9" w14:textId="77777777" w:rsidTr="0094353B">
        <w:tc>
          <w:tcPr>
            <w:tcW w:w="4644" w:type="dxa"/>
          </w:tcPr>
          <w:p w14:paraId="1F1FA6B7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1F1FA6B8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 asetäitja</w:t>
            </w:r>
          </w:p>
        </w:tc>
      </w:tr>
      <w:tr w:rsidR="00D64152" w:rsidRPr="00DB0ECE" w14:paraId="1F1FA6BC" w14:textId="77777777" w:rsidTr="0094353B">
        <w:tc>
          <w:tcPr>
            <w:tcW w:w="4644" w:type="dxa"/>
          </w:tcPr>
          <w:p w14:paraId="1F1FA6BA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1F1FA6BB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1F1FA6BF" w14:textId="77777777" w:rsidTr="0094353B">
        <w:tc>
          <w:tcPr>
            <w:tcW w:w="4644" w:type="dxa"/>
          </w:tcPr>
          <w:p w14:paraId="1F1FA6BD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1F1FA6BE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1F1FA6C2" w14:textId="77777777" w:rsidTr="0094353B">
        <w:tc>
          <w:tcPr>
            <w:tcW w:w="4644" w:type="dxa"/>
          </w:tcPr>
          <w:p w14:paraId="1F1FA6C0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1F1FA6C1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1F1FA6C5" w14:textId="77777777" w:rsidTr="0094353B">
        <w:tc>
          <w:tcPr>
            <w:tcW w:w="4644" w:type="dxa"/>
          </w:tcPr>
          <w:p w14:paraId="1F1FA6C3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1F1FA6C4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</w:p>
        </w:tc>
      </w:tr>
      <w:tr w:rsidR="00D64152" w:rsidRPr="00DB0ECE" w14:paraId="1F1FA6C8" w14:textId="77777777" w:rsidTr="0094353B">
        <w:tc>
          <w:tcPr>
            <w:tcW w:w="4644" w:type="dxa"/>
          </w:tcPr>
          <w:p w14:paraId="1F1FA6C6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1F1FA6C7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1F1FA6C9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1F1FA6CA" w14:textId="77777777" w:rsidR="00D64152" w:rsidRPr="00DB0ECE" w:rsidRDefault="00D64152" w:rsidP="00D64152">
      <w:pPr>
        <w:rPr>
          <w:lang w:val="et-EE"/>
        </w:rPr>
      </w:pPr>
    </w:p>
    <w:p w14:paraId="1F1FA6CB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1F1FA6CC" w14:textId="77777777" w:rsidR="00D64152" w:rsidRPr="00DB0ECE" w:rsidRDefault="00D64152" w:rsidP="00D64152">
      <w:pPr>
        <w:rPr>
          <w:lang w:val="et-EE"/>
        </w:rPr>
      </w:pPr>
    </w:p>
    <w:p w14:paraId="1F1FA6CD" w14:textId="692CA06A" w:rsidR="00A11E7B" w:rsidRDefault="00371EBB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2B7C6F" w:rsidRPr="00DB0ECE">
        <w:rPr>
          <w:b w:val="0"/>
          <w:bCs/>
          <w:lang w:val="et-EE"/>
        </w:rPr>
        <w:t xml:space="preserve">Põllumajanduse Registrite ja Informatsiooni Ameti (edaspidi </w:t>
      </w:r>
      <w:smartTag w:uri="urn:schemas-microsoft-com:office:smarttags" w:element="stockticker">
        <w:r w:rsidR="002B7C6F" w:rsidRPr="00DB0ECE">
          <w:rPr>
            <w:b w:val="0"/>
            <w:bCs/>
            <w:lang w:val="et-EE"/>
          </w:rPr>
          <w:t>PRIA</w:t>
        </w:r>
      </w:smartTag>
      <w:r w:rsidR="002B7C6F" w:rsidRPr="00DB0ECE">
        <w:rPr>
          <w:b w:val="0"/>
          <w:bCs/>
          <w:lang w:val="et-EE"/>
        </w:rPr>
        <w:t xml:space="preserve">) </w:t>
      </w:r>
      <w:r w:rsidR="00A11E7B">
        <w:rPr>
          <w:b w:val="0"/>
          <w:lang w:val="et-EE"/>
        </w:rPr>
        <w:t xml:space="preserve">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</w:p>
    <w:p w14:paraId="1F1FA6CE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1F1FA6CF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Pr="000D499C">
        <w:rPr>
          <w:b w:val="0"/>
          <w:bCs/>
          <w:lang w:val="et-EE"/>
        </w:rPr>
        <w:t xml:space="preserve">analüütik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>ning kokkulepitud tööplaanist.</w:t>
      </w:r>
      <w:bookmarkStart w:id="0" w:name="_GoBack"/>
      <w:bookmarkEnd w:id="0"/>
    </w:p>
    <w:p w14:paraId="1F1FA6D0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1F1FA6D1" w14:textId="22B264EE" w:rsidR="00D64152" w:rsidRPr="00DB0ECE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</w:t>
      </w:r>
      <w:r w:rsidR="002B7C6F">
        <w:rPr>
          <w:b w:val="0"/>
          <w:lang w:val="et-EE"/>
        </w:rPr>
        <w:t>PRIA</w:t>
      </w:r>
      <w:r w:rsidR="002B7C6F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>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1F1FA6D2" w14:textId="77777777" w:rsidR="00CB1DA1" w:rsidRPr="00DB0ECE" w:rsidRDefault="00CB1DA1" w:rsidP="001447B7">
      <w:pPr>
        <w:ind w:right="-58"/>
        <w:rPr>
          <w:lang w:val="et-EE"/>
        </w:rPr>
      </w:pPr>
    </w:p>
    <w:p w14:paraId="1F1FA6D3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1F1FA6D4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1F1FA6D7" w14:textId="77777777" w:rsidTr="00874C94">
        <w:tc>
          <w:tcPr>
            <w:tcW w:w="4261" w:type="dxa"/>
          </w:tcPr>
          <w:p w14:paraId="1F1FA6D5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1F1FA6D6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B02D2A" w:rsidRPr="006A2209" w14:paraId="1F1FA6DB" w14:textId="77777777" w:rsidTr="0027602C">
        <w:tc>
          <w:tcPr>
            <w:tcW w:w="4261" w:type="dxa"/>
          </w:tcPr>
          <w:p w14:paraId="1F1FA6D8" w14:textId="77777777" w:rsidR="00B02D2A" w:rsidRPr="006A2209" w:rsidRDefault="00B02D2A" w:rsidP="0027602C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Statistika rubriigi haldamine</w:t>
            </w:r>
          </w:p>
        </w:tc>
        <w:tc>
          <w:tcPr>
            <w:tcW w:w="4919" w:type="dxa"/>
          </w:tcPr>
          <w:p w14:paraId="1F1FA6D9" w14:textId="03AA4D56" w:rsidR="00B02D2A" w:rsidRPr="006A2209" w:rsidRDefault="00331872" w:rsidP="0027602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B02D2A" w:rsidRPr="006A2209">
              <w:rPr>
                <w:lang w:val="et-EE"/>
              </w:rPr>
              <w:t>eenistuja on kodulehele üles pannud täh</w:t>
            </w:r>
            <w:r w:rsidR="00F4031D">
              <w:rPr>
                <w:lang w:val="et-EE"/>
              </w:rPr>
              <w:t>taegselt kokkulepitud ülevaated</w:t>
            </w:r>
            <w:r w:rsidR="000D499C">
              <w:rPr>
                <w:lang w:val="et-EE"/>
              </w:rPr>
              <w:t>;</w:t>
            </w:r>
          </w:p>
          <w:p w14:paraId="1F1FA6DA" w14:textId="647CD2A0" w:rsidR="00B02D2A" w:rsidRPr="006A2209" w:rsidRDefault="00331872" w:rsidP="0027602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B02D2A" w:rsidRPr="006A2209">
              <w:rPr>
                <w:lang w:val="et-EE"/>
              </w:rPr>
              <w:t>eenistuja on teinud ettepa</w:t>
            </w:r>
            <w:r w:rsidR="00F4031D">
              <w:rPr>
                <w:lang w:val="et-EE"/>
              </w:rPr>
              <w:t>nekuid ülevaadete täiendamiseks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1F1FA6DF" w14:textId="77777777" w:rsidTr="00874C94">
        <w:tc>
          <w:tcPr>
            <w:tcW w:w="4261" w:type="dxa"/>
          </w:tcPr>
          <w:p w14:paraId="1F1FA6DC" w14:textId="607E5DB8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</w:t>
            </w:r>
            <w:r w:rsidR="00331872">
              <w:rPr>
                <w:lang w:val="et-EE"/>
              </w:rPr>
              <w:t>i</w:t>
            </w:r>
            <w:proofErr w:type="spellEnd"/>
            <w:r w:rsidR="00331872">
              <w:rPr>
                <w:lang w:val="et-EE"/>
              </w:rPr>
              <w:t xml:space="preserve">, </w:t>
            </w:r>
            <w:proofErr w:type="spellStart"/>
            <w:r w:rsidR="00331872">
              <w:rPr>
                <w:lang w:val="et-EE"/>
              </w:rPr>
              <w:t>EMKF</w:t>
            </w:r>
            <w:r w:rsidRPr="00E92E97">
              <w:rPr>
                <w:lang w:val="et-EE"/>
              </w:rPr>
              <w:t>i</w:t>
            </w:r>
            <w:proofErr w:type="spellEnd"/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1F1FA6DD" w14:textId="4C89CB90" w:rsidR="008439C1" w:rsidRPr="00E92E97" w:rsidRDefault="00331872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8439C1" w:rsidRPr="00E92E97">
              <w:rPr>
                <w:lang w:val="et-EE"/>
              </w:rPr>
              <w:t>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1F1FA6DE" w14:textId="1B9CFE0F" w:rsidR="008439C1" w:rsidRPr="00DB0ECE" w:rsidRDefault="00331872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8439C1" w:rsidRPr="00E92E97">
              <w:rPr>
                <w:lang w:val="et-EE"/>
              </w:rPr>
              <w:t>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1F1FA6E3" w14:textId="77777777" w:rsidTr="00874C94">
        <w:tc>
          <w:tcPr>
            <w:tcW w:w="4261" w:type="dxa"/>
          </w:tcPr>
          <w:p w14:paraId="1F1FA6E0" w14:textId="6AD23FD4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</w:t>
            </w:r>
            <w:r w:rsidR="00331872">
              <w:rPr>
                <w:lang w:val="et-EE"/>
              </w:rPr>
              <w:t>i</w:t>
            </w:r>
            <w:proofErr w:type="spellEnd"/>
            <w:r w:rsidR="00331872">
              <w:rPr>
                <w:lang w:val="et-EE"/>
              </w:rPr>
              <w:t xml:space="preserve">, </w:t>
            </w:r>
            <w:proofErr w:type="spellStart"/>
            <w:r w:rsidR="00331872">
              <w:rPr>
                <w:lang w:val="et-EE"/>
              </w:rPr>
              <w:t>EMKF</w:t>
            </w:r>
            <w:r>
              <w:rPr>
                <w:lang w:val="et-EE"/>
              </w:rPr>
              <w:t>i</w:t>
            </w:r>
            <w:proofErr w:type="spellEnd"/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1F1FA6E1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1F1FA6E2" w14:textId="58E43AC4" w:rsidR="00C0793D" w:rsidRPr="00DB0ECE" w:rsidRDefault="00331872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055151" w:rsidRPr="00DB0ECE">
              <w:rPr>
                <w:lang w:val="et-EE"/>
              </w:rPr>
              <w:t>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1F1FA6E9" w14:textId="77777777" w:rsidTr="00874C94">
        <w:tc>
          <w:tcPr>
            <w:tcW w:w="4261" w:type="dxa"/>
          </w:tcPr>
          <w:p w14:paraId="1F1FA6E4" w14:textId="3655D34D" w:rsidR="00C0793D" w:rsidRPr="00DB0ECE" w:rsidRDefault="00331872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="008439C1">
              <w:rPr>
                <w:lang w:val="et-EE"/>
              </w:rPr>
              <w:t>i</w:t>
            </w:r>
            <w:proofErr w:type="spellEnd"/>
            <w:r w:rsidR="008439C1">
              <w:rPr>
                <w:lang w:val="et-EE"/>
              </w:rPr>
              <w:t>, otsetoetuste</w:t>
            </w:r>
            <w:r w:rsidR="008439C1" w:rsidRPr="00E92E97">
              <w:rPr>
                <w:lang w:val="et-EE"/>
              </w:rPr>
              <w:t xml:space="preserve"> ja riiklike toetuste rakendumisega seotud aruannete ja analüüside </w:t>
            </w:r>
            <w:r w:rsidR="008439C1"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1F1FA6E5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1F1FA6E6" w14:textId="4D129FD9" w:rsidR="00055151" w:rsidRPr="00DB0ECE" w:rsidRDefault="00331872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055151" w:rsidRPr="00DB0ECE">
              <w:rPr>
                <w:lang w:val="et-EE"/>
              </w:rPr>
              <w:t>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1F1FA6E7" w14:textId="1E210C6C" w:rsidR="00C0793D" w:rsidRDefault="00331872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a</w:t>
            </w:r>
            <w:r w:rsidR="00055151" w:rsidRPr="00DB0ECE">
              <w:rPr>
                <w:lang w:val="et-EE"/>
              </w:rPr>
              <w:t>ruanded on valmis</w:t>
            </w:r>
            <w:r w:rsidR="00A11E7B">
              <w:rPr>
                <w:lang w:val="et-EE"/>
              </w:rPr>
              <w:t>, korrektsed</w:t>
            </w:r>
            <w:r w:rsidR="00055151"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="00055151" w:rsidRPr="00DB0ECE">
              <w:rPr>
                <w:lang w:val="et-EE"/>
              </w:rPr>
              <w:t xml:space="preserve"> </w:t>
            </w:r>
          </w:p>
          <w:p w14:paraId="1F1FA6E8" w14:textId="40DDF3D5" w:rsidR="00A11E7B" w:rsidRPr="00DB0ECE" w:rsidRDefault="00331872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A11E7B">
              <w:rPr>
                <w:lang w:val="et-EE"/>
              </w:rPr>
              <w:t>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1F1FA6EC" w14:textId="77777777" w:rsidTr="00874C94">
        <w:tc>
          <w:tcPr>
            <w:tcW w:w="4261" w:type="dxa"/>
          </w:tcPr>
          <w:p w14:paraId="1F1FA6EA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1F1FA6EB" w14:textId="77777777" w:rsidR="008439C1" w:rsidRPr="00DB0ECE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</w:tc>
      </w:tr>
      <w:tr w:rsidR="00FC4D43" w:rsidRPr="00DB0ECE" w14:paraId="1F1FA6F1" w14:textId="77777777" w:rsidTr="00874C94">
        <w:tc>
          <w:tcPr>
            <w:tcW w:w="4261" w:type="dxa"/>
          </w:tcPr>
          <w:p w14:paraId="1F1FA6ED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1F1FA6EE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1F1FA6EF" w14:textId="35A3A4A4" w:rsidR="00FC4D43" w:rsidRPr="000B7BBF" w:rsidRDefault="00331872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FC4D43" w:rsidRPr="000B7BBF">
              <w:rPr>
                <w:lang w:val="et-EE"/>
              </w:rPr>
              <w:t>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1F1FA6F0" w14:textId="4C541B7F" w:rsidR="00FC4D43" w:rsidRPr="00DB0ECE" w:rsidRDefault="00331872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FC4D43" w:rsidRPr="000B7BBF">
              <w:rPr>
                <w:lang w:val="et-EE"/>
              </w:rPr>
              <w:t>ruanded on valmis</w:t>
            </w:r>
            <w:r w:rsidR="00FC4D43"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557DED" w:rsidRPr="00DB0ECE" w14:paraId="1F1FA6F5" w14:textId="77777777" w:rsidTr="00874C94">
        <w:tc>
          <w:tcPr>
            <w:tcW w:w="4261" w:type="dxa"/>
          </w:tcPr>
          <w:p w14:paraId="1F1FA6F2" w14:textId="77777777" w:rsidR="00557DED" w:rsidRPr="00DB0ECE" w:rsidRDefault="00557DED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Arvestuse ja maksete infosüsteemi ARMA baasandmete seadistamine</w:t>
            </w:r>
          </w:p>
        </w:tc>
        <w:tc>
          <w:tcPr>
            <w:tcW w:w="4919" w:type="dxa"/>
          </w:tcPr>
          <w:p w14:paraId="1F1FA6F3" w14:textId="77777777" w:rsidR="00557DED" w:rsidRPr="00DB0ECE" w:rsidRDefault="00557DED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Vastavuskoodid on koostatud tähtaegselt ja seotud EK </w:t>
            </w:r>
            <w:r w:rsidR="00F4031D">
              <w:rPr>
                <w:lang w:val="et-EE"/>
              </w:rPr>
              <w:t>poolt etteantud nomenklatuuriga</w:t>
            </w:r>
            <w:r w:rsidR="000D499C">
              <w:rPr>
                <w:lang w:val="et-EE"/>
              </w:rPr>
              <w:t>;</w:t>
            </w:r>
          </w:p>
          <w:p w14:paraId="1F1FA6F4" w14:textId="5B4AC252" w:rsidR="00557DED" w:rsidRPr="00DB0ECE" w:rsidRDefault="00331872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557DED" w:rsidRPr="00DB0ECE">
              <w:rPr>
                <w:lang w:val="et-EE"/>
              </w:rPr>
              <w:t>astavuskoodid on seotud toetuste eelarvetega ning võimal</w:t>
            </w:r>
            <w:r w:rsidR="00F4031D">
              <w:rPr>
                <w:lang w:val="et-EE"/>
              </w:rPr>
              <w:t>davad jälgida toetuste eelarvet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1F1FA6FC" w14:textId="77777777" w:rsidTr="00874C94">
        <w:tc>
          <w:tcPr>
            <w:tcW w:w="4261" w:type="dxa"/>
          </w:tcPr>
          <w:p w14:paraId="1F1FA6F6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1F1FA6F7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1F1FA6F8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1F1FA6F9" w14:textId="4C453113" w:rsidR="00FC4D43" w:rsidRDefault="00331872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FC4D43">
              <w:rPr>
                <w:lang w:val="et-EE"/>
              </w:rPr>
              <w:t>ndm</w:t>
            </w:r>
            <w:r w:rsidR="000D499C">
              <w:rPr>
                <w:lang w:val="et-EE"/>
              </w:rPr>
              <w:t>eaida arendusse on sisend antud;</w:t>
            </w:r>
          </w:p>
          <w:p w14:paraId="1F1FA6FA" w14:textId="488A878F" w:rsidR="00FC4D43" w:rsidRDefault="00331872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FC4D43">
              <w:rPr>
                <w:lang w:val="et-EE"/>
              </w:rPr>
              <w:t>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1F1FA6FB" w14:textId="034F81C3" w:rsidR="001C0926" w:rsidRPr="00723446" w:rsidRDefault="00331872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FC4D43">
              <w:rPr>
                <w:lang w:val="et-EE"/>
              </w:rPr>
              <w:t>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1F1FA700" w14:textId="77777777" w:rsidTr="00874C94">
        <w:tc>
          <w:tcPr>
            <w:tcW w:w="4261" w:type="dxa"/>
          </w:tcPr>
          <w:p w14:paraId="1F1FA6FD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1F1FA6FE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1F1FA6FF" w14:textId="3CF97A9E" w:rsidR="001C0926" w:rsidRPr="00DB0ECE" w:rsidRDefault="00331872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1C0926" w:rsidRPr="00DB0ECE">
              <w:rPr>
                <w:lang w:val="et-EE"/>
              </w:rPr>
              <w:t>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1F1FA703" w14:textId="77777777" w:rsidTr="00874C94">
        <w:tc>
          <w:tcPr>
            <w:tcW w:w="4261" w:type="dxa"/>
          </w:tcPr>
          <w:p w14:paraId="1F1FA701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1F1FA702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1F1FA707" w14:textId="77777777" w:rsidTr="00874C94">
        <w:tc>
          <w:tcPr>
            <w:tcW w:w="4261" w:type="dxa"/>
          </w:tcPr>
          <w:p w14:paraId="1F1FA704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1F1FA705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1F1FA706" w14:textId="3B86DFC9" w:rsidR="001C0926" w:rsidRPr="00DB0ECE" w:rsidRDefault="00331872" w:rsidP="0033187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1C0926" w:rsidRPr="00DB0ECE">
              <w:rPr>
                <w:lang w:val="et-EE"/>
              </w:rPr>
              <w:t>ärelevalvet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1F1FA70B" w14:textId="77777777" w:rsidTr="00874C94">
        <w:tc>
          <w:tcPr>
            <w:tcW w:w="4261" w:type="dxa"/>
          </w:tcPr>
          <w:p w14:paraId="1F1FA708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1F1FA709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1F1FA70A" w14:textId="09EB8691" w:rsidR="001C0926" w:rsidRPr="00DB0ECE" w:rsidRDefault="00331872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1C0926" w:rsidRPr="00DB0ECE">
              <w:rPr>
                <w:lang w:val="et-EE"/>
              </w:rPr>
              <w:t>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1F1FA70F" w14:textId="77777777" w:rsidTr="00874C94">
        <w:tc>
          <w:tcPr>
            <w:tcW w:w="4261" w:type="dxa"/>
          </w:tcPr>
          <w:p w14:paraId="1F1FA70C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1F1FA70D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1F1FA70E" w14:textId="36673100" w:rsidR="001C0926" w:rsidRPr="00DB0ECE" w:rsidRDefault="00331872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u</w:t>
            </w:r>
            <w:r w:rsidR="001C0926" w:rsidRPr="00DB0ECE">
              <w:rPr>
                <w:lang w:val="et-EE"/>
              </w:rPr>
              <w:t xml:space="preserve">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1F1FA712" w14:textId="77777777" w:rsidTr="00874C94">
        <w:tc>
          <w:tcPr>
            <w:tcW w:w="4261" w:type="dxa"/>
          </w:tcPr>
          <w:p w14:paraId="1F1FA710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1F1FA711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1F1FA713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1F1FA714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1F1FA715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1F1FA71D" w14:textId="77777777" w:rsidTr="00874C94">
        <w:tc>
          <w:tcPr>
            <w:tcW w:w="9180" w:type="dxa"/>
          </w:tcPr>
          <w:p w14:paraId="1F1FA716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1F1FA717" w14:textId="77777777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 </w:t>
            </w:r>
          </w:p>
          <w:p w14:paraId="1F1FA718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ametialase informatsiooni kaitsmise ja hoidmise eest</w:t>
            </w:r>
          </w:p>
          <w:p w14:paraId="1F1FA719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kasutusse antud töövahendite säilimise ja hoidmise eest</w:t>
            </w:r>
          </w:p>
          <w:p w14:paraId="1F1FA71A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</w:p>
          <w:p w14:paraId="1F1FA71B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</w:p>
          <w:p w14:paraId="1F1FA71C" w14:textId="77777777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</w:p>
        </w:tc>
      </w:tr>
    </w:tbl>
    <w:p w14:paraId="1F1FA71E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1F1FA71F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1F1FA720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1F1FA729" w14:textId="77777777" w:rsidTr="00874C94">
        <w:tc>
          <w:tcPr>
            <w:tcW w:w="9180" w:type="dxa"/>
          </w:tcPr>
          <w:p w14:paraId="1F1FA721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1F1FA722" w14:textId="77777777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</w:p>
          <w:p w14:paraId="1F1FA723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</w:p>
          <w:p w14:paraId="1F1FA724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</w:p>
          <w:p w14:paraId="1F1FA725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</w:p>
          <w:p w14:paraId="1F1FA726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1F1FA727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</w:p>
          <w:p w14:paraId="1F1FA728" w14:textId="77777777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1F1FA72A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1F1FA72B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1F1FA72C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1F1FA730" w14:textId="77777777" w:rsidTr="00874C94">
        <w:tc>
          <w:tcPr>
            <w:tcW w:w="9180" w:type="dxa"/>
          </w:tcPr>
          <w:p w14:paraId="1F1FA72D" w14:textId="77777777" w:rsidR="000F2F45" w:rsidRPr="00DB0ECE" w:rsidRDefault="00E9407F" w:rsidP="000F2F45">
            <w:pPr>
              <w:pStyle w:val="BodyText"/>
              <w:rPr>
                <w:b w:val="0"/>
                <w:lang w:val="et-EE" w:eastAsia="en-US"/>
              </w:rPr>
            </w:pPr>
            <w:r w:rsidRPr="00E9407F">
              <w:rPr>
                <w:b w:val="0"/>
                <w:lang w:val="et-EE" w:eastAsia="en-US"/>
              </w:rPr>
              <w:t>Peaspetsialist-analüütik</w:t>
            </w:r>
            <w:r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>Töö on paikse iseloomuga, eeldab peamiselt paberi- ja arvutitööd. 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 xml:space="preserve">ajalt lähetusi Eesti piires ja vahel ka välissõite. Täpsus ja korrektsus on primaarsed, analüüsivõime vajalik. Hooajati võib töö intensiivsus ja maht oluliselt suureneda. </w:t>
            </w:r>
          </w:p>
          <w:p w14:paraId="1F1FA72E" w14:textId="77777777" w:rsidR="00D64152" w:rsidRPr="00DB0EC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1F1FA72F" w14:textId="77777777" w:rsidR="00D64152" w:rsidRPr="00DB0EC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T</w:t>
            </w:r>
            <w:r w:rsidR="00BE0EA6" w:rsidRPr="00DB0ECE">
              <w:rPr>
                <w:lang w:val="et-EE"/>
              </w:rPr>
              <w:t>eenistuja</w:t>
            </w:r>
            <w:r w:rsidRPr="00DB0ECE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1F1FA731" w14:textId="77777777" w:rsidR="00D64152" w:rsidRDefault="00D64152" w:rsidP="00FC4D43">
      <w:pPr>
        <w:tabs>
          <w:tab w:val="left" w:pos="8789"/>
        </w:tabs>
        <w:rPr>
          <w:lang w:val="et-EE"/>
        </w:rPr>
      </w:pPr>
    </w:p>
    <w:p w14:paraId="1F1FA732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1F1FA733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1F1FA734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1F1FA737" w14:textId="77777777" w:rsidTr="00874C94">
        <w:tc>
          <w:tcPr>
            <w:tcW w:w="4261" w:type="dxa"/>
          </w:tcPr>
          <w:p w14:paraId="1F1FA735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1F1FA736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1F1FA740" w14:textId="77777777" w:rsidTr="00874C94">
        <w:tc>
          <w:tcPr>
            <w:tcW w:w="4261" w:type="dxa"/>
          </w:tcPr>
          <w:p w14:paraId="1F1FA738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1F1FA739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1F1FA73A" w14:textId="77777777" w:rsidR="00D64152" w:rsidRPr="00782D9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82D99">
              <w:rPr>
                <w:lang w:val="et-EE"/>
              </w:rPr>
              <w:t>printer</w:t>
            </w:r>
          </w:p>
          <w:p w14:paraId="1F1FA73B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1F1FA73C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1F1FA73D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koopiamasin</w:t>
            </w:r>
          </w:p>
          <w:p w14:paraId="1F1FA73E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faks</w:t>
            </w:r>
          </w:p>
          <w:p w14:paraId="1F1FA73F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paberipurustaja</w:t>
            </w:r>
          </w:p>
        </w:tc>
      </w:tr>
    </w:tbl>
    <w:p w14:paraId="1F1FA741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1F1FA742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1F1FA743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1F1FA744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1F1FA748" w14:textId="77777777" w:rsidTr="00874C94">
        <w:tc>
          <w:tcPr>
            <w:tcW w:w="2840" w:type="dxa"/>
          </w:tcPr>
          <w:p w14:paraId="1F1FA745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1F1FA746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1F1FA747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1F1FA74C" w14:textId="77777777" w:rsidTr="00874C94">
        <w:tc>
          <w:tcPr>
            <w:tcW w:w="2840" w:type="dxa"/>
          </w:tcPr>
          <w:p w14:paraId="1F1FA749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1F1FA74A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1F1FA74B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1F1FA752" w14:textId="77777777" w:rsidTr="00874C94">
        <w:tc>
          <w:tcPr>
            <w:tcW w:w="2840" w:type="dxa"/>
          </w:tcPr>
          <w:p w14:paraId="1F1FA74D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1F1FA74E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1F1FA74F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1F1FA750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statistikaalases töös</w:t>
            </w:r>
          </w:p>
          <w:p w14:paraId="1F1FA751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põllumajandustoetuste alal</w:t>
            </w:r>
          </w:p>
        </w:tc>
      </w:tr>
      <w:tr w:rsidR="00D64152" w:rsidRPr="00DB0ECE" w14:paraId="1F1FA757" w14:textId="77777777" w:rsidTr="00874C94">
        <w:tc>
          <w:tcPr>
            <w:tcW w:w="2840" w:type="dxa"/>
          </w:tcPr>
          <w:p w14:paraId="1F1FA753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1F1FA754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Arvutioskus (MS Office kesktase, Internet)</w:t>
            </w:r>
          </w:p>
          <w:p w14:paraId="1F1FA755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1F1FA756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t>Väga hea arvutioskus (MS Excel profitase)</w:t>
            </w:r>
          </w:p>
        </w:tc>
      </w:tr>
      <w:tr w:rsidR="00D64152" w:rsidRPr="00DB0ECE" w14:paraId="1F1FA762" w14:textId="77777777" w:rsidTr="00874C94">
        <w:tc>
          <w:tcPr>
            <w:tcW w:w="2840" w:type="dxa"/>
          </w:tcPr>
          <w:p w14:paraId="1F1FA758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F1FA759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1F1FA75A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1F1FA75B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1F1FA75C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1F1FA75D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1F1FA75E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1F1FA75F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1F1FA760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1F1FA761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1F1FA763" w14:textId="77777777" w:rsidR="00D64152" w:rsidRPr="00DB0ECE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1F1FA764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1F1FA765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1F1FA766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1F1FA767" w14:textId="77777777" w:rsidR="00D64152" w:rsidRPr="00DB0ECE" w:rsidRDefault="00D64152" w:rsidP="00D64152">
      <w:pPr>
        <w:rPr>
          <w:lang w:val="et-EE"/>
        </w:rPr>
      </w:pPr>
    </w:p>
    <w:p w14:paraId="1F1FA768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1F1FA769" w14:textId="77777777" w:rsidR="00D64152" w:rsidRPr="00DB0ECE" w:rsidRDefault="00D64152" w:rsidP="00D64152">
      <w:pPr>
        <w:rPr>
          <w:lang w:val="et-EE"/>
        </w:rPr>
      </w:pPr>
    </w:p>
    <w:p w14:paraId="1F1FA76A" w14:textId="77777777" w:rsidR="00D64152" w:rsidRPr="00DB0ECE" w:rsidRDefault="00D64152" w:rsidP="00D64152">
      <w:pPr>
        <w:rPr>
          <w:lang w:val="et-EE"/>
        </w:rPr>
      </w:pPr>
    </w:p>
    <w:p w14:paraId="1F1FA76B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FC4D43">
        <w:rPr>
          <w:lang w:val="et-EE"/>
        </w:rPr>
        <w:t>Siiri Järvesaar</w:t>
      </w:r>
    </w:p>
    <w:p w14:paraId="1F1FA76C" w14:textId="77777777" w:rsidR="00D64152" w:rsidRPr="00DB0ECE" w:rsidRDefault="00D64152" w:rsidP="00D64152">
      <w:pPr>
        <w:rPr>
          <w:lang w:val="et-EE"/>
        </w:rPr>
      </w:pPr>
    </w:p>
    <w:p w14:paraId="1F1FA76D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1F1FA76E" w14:textId="77777777" w:rsidR="00D64152" w:rsidRPr="00DB0ECE" w:rsidRDefault="00D64152" w:rsidP="00D64152">
      <w:pPr>
        <w:rPr>
          <w:lang w:val="et-EE"/>
        </w:rPr>
      </w:pPr>
    </w:p>
    <w:p w14:paraId="1F1FA76F" w14:textId="77777777" w:rsidR="00D64152" w:rsidRPr="00DB0ECE" w:rsidRDefault="00D64152" w:rsidP="00D64152">
      <w:pPr>
        <w:rPr>
          <w:lang w:val="et-EE"/>
        </w:rPr>
      </w:pPr>
    </w:p>
    <w:p w14:paraId="1F1FA770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1F1FA771" w14:textId="77777777" w:rsidR="008B12D5" w:rsidRPr="00DB0ECE" w:rsidRDefault="008B12D5" w:rsidP="00D64152">
      <w:pPr>
        <w:rPr>
          <w:lang w:val="et-EE"/>
        </w:rPr>
      </w:pPr>
    </w:p>
    <w:p w14:paraId="1F1FA772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055C59" w:rsidRPr="00055C59">
        <w:rPr>
          <w:lang w:val="et-EE"/>
        </w:rPr>
        <w:t>Karin Kajak</w:t>
      </w:r>
    </w:p>
    <w:p w14:paraId="1F1FA773" w14:textId="77777777" w:rsidR="00D64152" w:rsidRPr="00DB0ECE" w:rsidRDefault="00D64152" w:rsidP="00D64152">
      <w:pPr>
        <w:rPr>
          <w:lang w:val="et-EE"/>
        </w:rPr>
      </w:pPr>
    </w:p>
    <w:p w14:paraId="1F1FA774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FA777" w14:textId="77777777" w:rsidR="0042481F" w:rsidRDefault="0042481F" w:rsidP="0041443B">
      <w:r>
        <w:separator/>
      </w:r>
    </w:p>
  </w:endnote>
  <w:endnote w:type="continuationSeparator" w:id="0">
    <w:p w14:paraId="1F1FA778" w14:textId="77777777" w:rsidR="0042481F" w:rsidRDefault="0042481F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A77D" w14:textId="77777777" w:rsidR="0095190E" w:rsidRDefault="0095190E" w:rsidP="00AA2E69">
    <w:pPr>
      <w:pStyle w:val="Footer"/>
    </w:pPr>
  </w:p>
  <w:p w14:paraId="1F1FA77E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FA775" w14:textId="77777777" w:rsidR="0042481F" w:rsidRDefault="0042481F" w:rsidP="0041443B">
      <w:r>
        <w:separator/>
      </w:r>
    </w:p>
  </w:footnote>
  <w:footnote w:type="continuationSeparator" w:id="0">
    <w:p w14:paraId="1F1FA776" w14:textId="77777777" w:rsidR="0042481F" w:rsidRDefault="0042481F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A779" w14:textId="77777777" w:rsidR="0095190E" w:rsidRDefault="0095190E">
    <w:pPr>
      <w:pStyle w:val="Header"/>
    </w:pPr>
    <w:r>
      <w:t>Põllumajanduse Registrite ja Informatsiooni Amet</w:t>
    </w:r>
  </w:p>
  <w:p w14:paraId="1F1FA77A" w14:textId="77777777" w:rsidR="0095190E" w:rsidRDefault="0095190E">
    <w:pPr>
      <w:pStyle w:val="Header"/>
    </w:pPr>
    <w:r>
      <w:t>Ametijuhend</w:t>
    </w:r>
  </w:p>
  <w:p w14:paraId="1F1FA77B" w14:textId="77777777" w:rsidR="0095190E" w:rsidRPr="008B12D5" w:rsidRDefault="00F45D09">
    <w:pPr>
      <w:pStyle w:val="Header"/>
      <w:rPr>
        <w:lang w:val="et-EE"/>
      </w:rPr>
    </w:pPr>
    <w:r w:rsidRPr="008B12D5">
      <w:rPr>
        <w:lang w:val="et-EE"/>
      </w:rPr>
      <w:t>Karin Kajak</w:t>
    </w:r>
  </w:p>
  <w:p w14:paraId="1F1FA77C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C0926"/>
    <w:rsid w:val="00211249"/>
    <w:rsid w:val="002138C6"/>
    <w:rsid w:val="0023509E"/>
    <w:rsid w:val="002402C3"/>
    <w:rsid w:val="0027602C"/>
    <w:rsid w:val="0028271D"/>
    <w:rsid w:val="002866FF"/>
    <w:rsid w:val="00292876"/>
    <w:rsid w:val="00296455"/>
    <w:rsid w:val="002A5D7E"/>
    <w:rsid w:val="002B7BF8"/>
    <w:rsid w:val="002B7C6F"/>
    <w:rsid w:val="002C3AEB"/>
    <w:rsid w:val="002E690D"/>
    <w:rsid w:val="003066C2"/>
    <w:rsid w:val="00331872"/>
    <w:rsid w:val="00340E3C"/>
    <w:rsid w:val="00371EBB"/>
    <w:rsid w:val="00380A8C"/>
    <w:rsid w:val="003A2F4D"/>
    <w:rsid w:val="003D51D6"/>
    <w:rsid w:val="00410B59"/>
    <w:rsid w:val="0041443B"/>
    <w:rsid w:val="004233F1"/>
    <w:rsid w:val="0042481F"/>
    <w:rsid w:val="0045044B"/>
    <w:rsid w:val="004A27B9"/>
    <w:rsid w:val="004C567D"/>
    <w:rsid w:val="004E131F"/>
    <w:rsid w:val="0053179C"/>
    <w:rsid w:val="00557DED"/>
    <w:rsid w:val="00586AB5"/>
    <w:rsid w:val="0059760B"/>
    <w:rsid w:val="006341C3"/>
    <w:rsid w:val="00695649"/>
    <w:rsid w:val="006A5060"/>
    <w:rsid w:val="006C1C21"/>
    <w:rsid w:val="006F6D90"/>
    <w:rsid w:val="00762708"/>
    <w:rsid w:val="007655A1"/>
    <w:rsid w:val="00782D99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85B1A"/>
    <w:rsid w:val="00986495"/>
    <w:rsid w:val="00991AF8"/>
    <w:rsid w:val="009A4354"/>
    <w:rsid w:val="009C0222"/>
    <w:rsid w:val="009C0E39"/>
    <w:rsid w:val="00A11E7B"/>
    <w:rsid w:val="00A310C4"/>
    <w:rsid w:val="00A34BB2"/>
    <w:rsid w:val="00A35097"/>
    <w:rsid w:val="00AA2E69"/>
    <w:rsid w:val="00AE048B"/>
    <w:rsid w:val="00B02D2A"/>
    <w:rsid w:val="00B66F72"/>
    <w:rsid w:val="00BD3DB3"/>
    <w:rsid w:val="00BE0EA6"/>
    <w:rsid w:val="00C034D1"/>
    <w:rsid w:val="00C0793D"/>
    <w:rsid w:val="00C42672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F6B54"/>
    <w:rsid w:val="00E4660F"/>
    <w:rsid w:val="00E64E2F"/>
    <w:rsid w:val="00E825A2"/>
    <w:rsid w:val="00E827C6"/>
    <w:rsid w:val="00E879BC"/>
    <w:rsid w:val="00E9407F"/>
    <w:rsid w:val="00EF344C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F1FA6AB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3732-2D12-44B3-A8A8-0881D42E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Ametijuhend_Karin Kajak</vt:lpstr>
    </vt:vector>
  </TitlesOfParts>
  <Company>HP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Ametijuhend_Karin Kajak</dc:title>
  <dc:creator>sirle</dc:creator>
  <cp:lastModifiedBy>Tiiu Klement</cp:lastModifiedBy>
  <cp:revision>3</cp:revision>
  <cp:lastPrinted>2013-03-01T07:15:00Z</cp:lastPrinted>
  <dcterms:created xsi:type="dcterms:W3CDTF">2018-01-04T08:57:00Z</dcterms:created>
  <dcterms:modified xsi:type="dcterms:W3CDTF">2018-01-04T10:28:00Z</dcterms:modified>
</cp:coreProperties>
</file>