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Default="008B33CC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8B33CC" w:rsidRDefault="008B33CC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Ametikoht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8B33CC" w:rsidRDefault="000A0CB8">
            <w:pPr>
              <w:rPr>
                <w:b/>
              </w:rPr>
            </w:pPr>
            <w:r>
              <w:rPr>
                <w:b/>
              </w:rPr>
              <w:t>Andres Rajaleid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Default="008B33CC">
            <w:r>
              <w:t>Otsetoetuste osakond,</w:t>
            </w:r>
          </w:p>
          <w:p w:rsidR="008B33CC" w:rsidRDefault="008B33CC">
            <w:r>
              <w:t>põldude registri büroo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juhataja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Default="008B33CC">
            <w:r>
              <w:t>Ei ole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482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482E" w:rsidRDefault="008B48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482E" w:rsidRPr="00B93E8F" w:rsidRDefault="008B482E" w:rsidP="000A0CB8">
            <w:r>
              <w:t>Põldude</w:t>
            </w:r>
            <w:r w:rsidR="000A0CB8">
              <w:t xml:space="preserve"> registri büroo peaspetsialist </w:t>
            </w:r>
            <w:r>
              <w:t xml:space="preserve">(1.asendus) ja </w:t>
            </w:r>
            <w:r w:rsidR="000A0CB8">
              <w:t>juhtivspetsialist oma valdkonnas (2. asendus)</w:t>
            </w:r>
          </w:p>
        </w:tc>
      </w:tr>
      <w:tr w:rsidR="008B482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482E" w:rsidRDefault="008B482E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482E" w:rsidRDefault="008B482E">
            <w:r>
              <w:t>Kohustuslik hindamisvestlus vahetu juhiga vähemalt 1 kord aastas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B33CC" w:rsidRDefault="008B33CC"/>
    <w:p w:rsidR="008B33CC" w:rsidRDefault="008B33CC">
      <w:pPr>
        <w:autoSpaceDE w:val="0"/>
        <w:autoSpaceDN w:val="0"/>
        <w:adjustRightInd w:val="0"/>
      </w:pPr>
      <w:r>
        <w:t>Põldude registri büroo pea</w:t>
      </w:r>
      <w:r w:rsidR="009E0735">
        <w:t>s</w:t>
      </w:r>
      <w:r>
        <w:t xml:space="preserve">petsialisti töö eesmärgiks on tagada põllumassiivide registri funktsioneerimine pindalapõhiste </w:t>
      </w:r>
      <w:r w:rsidR="006C44B5">
        <w:t>maaelu arengukava toetuste ja otse</w:t>
      </w:r>
      <w:r>
        <w:t>toetuste administreerimiseks vajalikul tasemel ning asutuse klientide informeerimine ja nende probleemidele lahenduste leidmine oma tööd puudutavates küsimustes. Töö tulemusena on loodud taotlejatele võimalused kasutada kaasajastatud põllumassiivide kaarte.</w:t>
      </w:r>
    </w:p>
    <w:p w:rsidR="008B33CC" w:rsidRDefault="008B33CC">
      <w:pPr>
        <w:jc w:val="both"/>
      </w:pPr>
    </w:p>
    <w:p w:rsidR="008B33CC" w:rsidRDefault="008B33CC">
      <w:pPr>
        <w:pStyle w:val="BodyText"/>
        <w:ind w:left="-142" w:right="-58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>
        <w:rPr>
          <w:color w:val="000000"/>
        </w:rPr>
        <w:t>, PRIA teenindusstandardist</w:t>
      </w:r>
      <w:r>
        <w:rPr>
          <w:color w:val="000000"/>
        </w:rPr>
        <w:t xml:space="preserve"> ning antud ametijuhendist</w:t>
      </w:r>
      <w:r>
        <w:t>.</w:t>
      </w:r>
    </w:p>
    <w:p w:rsidR="008B33CC" w:rsidRDefault="008B33CC">
      <w:pPr>
        <w:ind w:right="-58"/>
      </w:pPr>
    </w:p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"/>
        <w:gridCol w:w="426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74" w:type="dxa"/>
            <w:gridSpan w:val="2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Põllumajandusliku haritava maa üle peetavat arvestust puudutava seadusandluse tundmine, uuenduste jälgimine ning seaduseelnõude väljatöötamisel osalemine</w:t>
            </w:r>
            <w:r>
              <w:t xml:space="preserve"> </w:t>
            </w:r>
          </w:p>
          <w:p w:rsidR="008B33CC" w:rsidRDefault="008B33CC"/>
        </w:tc>
        <w:tc>
          <w:tcPr>
            <w:tcW w:w="4274" w:type="dxa"/>
            <w:gridSpan w:val="2"/>
          </w:tcPr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leiab vajadusel operatiivselt tööks vajalikud seadusaktid või nende alalõigud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Teenistujale ülesandeks tehtud seadusandlike aktide eelnõud on koostatud tähtajaks ning edastatud </w:t>
            </w:r>
            <w:r>
              <w:rPr>
                <w:color w:val="000000"/>
              </w:rPr>
              <w:lastRenderedPageBreak/>
              <w:t>kõikidele adressaatidele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Vajadusel on parandused ja muudatused operatiivselt sisse viidud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lastRenderedPageBreak/>
              <w:t>Põllumassiivide registri jooksev uuendamine</w:t>
            </w:r>
          </w:p>
        </w:tc>
        <w:tc>
          <w:tcPr>
            <w:tcW w:w="4274" w:type="dxa"/>
            <w:gridSpan w:val="2"/>
          </w:tcPr>
          <w:p w:rsidR="008B33CC" w:rsidRPr="009E0735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E0735">
              <w:t>Registri uuendamine on kooskõlas kehtivate õigusaktide, büroo protseduuride ja juhenditega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t>Põllumassiivide registri muudatustest teavitamine</w:t>
            </w:r>
          </w:p>
        </w:tc>
        <w:tc>
          <w:tcPr>
            <w:tcW w:w="4274" w:type="dxa"/>
            <w:gridSpan w:val="2"/>
          </w:tcPr>
          <w:p w:rsidR="008B33CC" w:rsidRPr="009E0735" w:rsidRDefault="008B33CC">
            <w:pPr>
              <w:numPr>
                <w:ilvl w:val="0"/>
                <w:numId w:val="1"/>
              </w:numPr>
            </w:pPr>
            <w:r w:rsidRPr="009E0735">
              <w:t>Taotlejate teavitamine toimub vastavalt protseduurile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</w:pPr>
            <w:r>
              <w:t>Põllumassiivide registrit puudutavatele teabenõuetele ja vaietele vastamine</w:t>
            </w:r>
          </w:p>
        </w:tc>
        <w:tc>
          <w:tcPr>
            <w:tcW w:w="4274" w:type="dxa"/>
            <w:gridSpan w:val="2"/>
          </w:tcPr>
          <w:p w:rsidR="008B33CC" w:rsidRDefault="008B33CC" w:rsidP="007569DE">
            <w:pPr>
              <w:numPr>
                <w:ilvl w:val="0"/>
                <w:numId w:val="1"/>
              </w:numPr>
            </w:pPr>
            <w:r>
              <w:t xml:space="preserve">Teabenõuetele </w:t>
            </w:r>
            <w:r w:rsidR="007569DE">
              <w:t xml:space="preserve">ja vaietele </w:t>
            </w:r>
            <w:r>
              <w:t>on vastatud tähtaegselt, kompetentselt ja taotlejale arusaadavalt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  <w:gridSpan w:val="2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 w:rsidP="007569DE">
            <w:pPr>
              <w:rPr>
                <w:lang w:val="nl-NL"/>
              </w:rPr>
            </w:pPr>
            <w:r>
              <w:t>Põllumassiivide</w:t>
            </w:r>
            <w:r>
              <w:rPr>
                <w:lang w:val="nl-NL"/>
              </w:rPr>
              <w:t xml:space="preserve"> registri välikontrolli koordineerimine</w:t>
            </w:r>
          </w:p>
        </w:tc>
        <w:tc>
          <w:tcPr>
            <w:tcW w:w="4274" w:type="dxa"/>
            <w:gridSpan w:val="2"/>
          </w:tcPr>
          <w:p w:rsidR="008B33CC" w:rsidRDefault="008B33CC" w:rsidP="007569DE">
            <w:pPr>
              <w:numPr>
                <w:ilvl w:val="0"/>
                <w:numId w:val="1"/>
              </w:numPr>
            </w:pPr>
            <w:r>
              <w:t>Välikontrolli aktide koostamine ja üle</w:t>
            </w:r>
            <w:r w:rsidR="009E0735">
              <w:t>a</w:t>
            </w:r>
            <w:r>
              <w:t>ndmine on teostatud õigeaegselt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>Geoinfosüsteemi arendamine ja testimine</w:t>
            </w:r>
          </w:p>
        </w:tc>
        <w:tc>
          <w:tcPr>
            <w:tcW w:w="4274" w:type="dxa"/>
            <w:gridSpan w:val="2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teeb operatiivselt ettepanekuid infosüsteemi arendamiseks vastavalt Eesti Vabariigis ja Euroopa Liidus kehtivale seadusandlusele</w:t>
            </w:r>
          </w:p>
          <w:p w:rsidR="003E26BF" w:rsidRDefault="008B33CC" w:rsidP="009D24F3">
            <w:pPr>
              <w:numPr>
                <w:ilvl w:val="0"/>
                <w:numId w:val="1"/>
              </w:numPr>
            </w:pPr>
            <w:r>
              <w:t>Arendusettepanekud on kooskõlas riiklike standardite ning klassifikaatoritega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Vajalikud testimised on läbi viidud vastavalt juhendile ja testplaanile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Koolituste läbiviimine oma valdkonna piires</w:t>
            </w:r>
          </w:p>
        </w:tc>
        <w:tc>
          <w:tcPr>
            <w:tcW w:w="4274" w:type="dxa"/>
            <w:gridSpan w:val="2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Koolitused on läbi viidud vastavalt juhtivspetsialisti poolt antud korraldusele.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Teenistujad on saanud adekvaatset abi ja tõepärast informatsiooni.</w:t>
            </w:r>
          </w:p>
        </w:tc>
      </w:tr>
      <w:tr w:rsidR="007569DE" w:rsidTr="00AC226B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2"/>
          </w:tcPr>
          <w:p w:rsidR="007569DE" w:rsidRDefault="007569DE" w:rsidP="00AC226B">
            <w:r>
              <w:t>Vajadusel riigihanke dokumentide koostamine</w:t>
            </w:r>
          </w:p>
        </w:tc>
        <w:tc>
          <w:tcPr>
            <w:tcW w:w="4261" w:type="dxa"/>
          </w:tcPr>
          <w:p w:rsidR="007569DE" w:rsidRDefault="007569DE" w:rsidP="007569D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Dokumendid on koostatud vastavalt kehtivatele õigusaktidele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rPr>
                <w:color w:val="000000"/>
              </w:rPr>
              <w:t>Osalemine pindalapõhiste toetuste administreerimisel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Teenistuja on kursis pindalapõhiste toetuste seadusandluse, põhimõtete ja protseduuridega nii Eesti Vabariigis kui Euroopa Liidus</w:t>
            </w:r>
          </w:p>
          <w:p w:rsidR="00B74BCE" w:rsidRDefault="00B74BC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>On tagatud põllumassiivide kaartide kättesaadavus taotlejatele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t>Tööülesannete ja lisaülesannete täitmine vastavalt büroo juhtivspetsialisti korraldusele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Tööülesanded ja büroo teiste valdkondade ajutise töökoormuse suurenemisel antud lisaülesanded on tähtaegselt ja protseduuride kohaselt täidetud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lastRenderedPageBreak/>
              <w:t>Töökoosolekutel osalemine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t>Informatsiooni andmine järelevalvet teostavate organisatsioonide esindajatele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B74BCE" w:rsidRDefault="00B74BCE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B74BC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4BCE" w:rsidRDefault="00B74BCE">
            <w:r>
              <w:t>Infovahetuse korraldamine organisatsioonis</w:t>
            </w:r>
          </w:p>
        </w:tc>
        <w:tc>
          <w:tcPr>
            <w:tcW w:w="4274" w:type="dxa"/>
            <w:gridSpan w:val="2"/>
          </w:tcPr>
          <w:p w:rsidR="00B74BCE" w:rsidRDefault="00B74BCE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B74BCE" w:rsidRDefault="00B74BCE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8B33CC" w:rsidRDefault="008B33CC" w:rsidP="009D24F3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r>
              <w:t>Teenistuja vastutab:</w:t>
            </w:r>
          </w:p>
          <w:p w:rsidR="008B33CC" w:rsidRDefault="008B33CC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>, õigusaktidest, sisekorraeeskirjast, PRIA ja osakonna põhimäärusest,</w:t>
            </w:r>
            <w:r w:rsidR="00D42AA8">
              <w:t xml:space="preserve"> PRIA teenindusstandardist</w:t>
            </w:r>
            <w:r>
              <w:t xml:space="preserve"> ning avaliku teenistuse seadusest tulenevate tööülesannete õigeaegse ja kvaliteetse täitmise eest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E71FBE">
              <w:t>juhile</w:t>
            </w:r>
            <w:r>
              <w:t xml:space="preserve"> tööalaseid küsimusi ja ettepanekuid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vastu võtta otsuseid oma vastutusala piires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ressursid</w:t>
            </w:r>
          </w:p>
        </w:tc>
      </w:tr>
    </w:tbl>
    <w:p w:rsidR="008B33CC" w:rsidRDefault="008B33CC">
      <w:pPr>
        <w:jc w:val="center"/>
        <w:rPr>
          <w:b/>
          <w:sz w:val="28"/>
        </w:rPr>
      </w:pPr>
    </w:p>
    <w:p w:rsidR="008B33CC" w:rsidRDefault="008B33CC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TÖÖ ISELOOM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jc w:val="both"/>
            </w:pPr>
            <w:r>
              <w:t>Töö on peamiselt paikse iseloomuga, aeg-ajalt tuleb ette lähetusi Eesti piires. Tegemist on peamiselt arvutitööga ja suhtlemisega PRIA klientidega.</w:t>
            </w:r>
          </w:p>
          <w:p w:rsidR="008B33CC" w:rsidRDefault="008B33CC">
            <w:pPr>
              <w:jc w:val="both"/>
            </w:pPr>
            <w:r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>
              <w:t>Selge eneseväljendusoskus, täpsus, korrektsus ning tähtaegadest kinnipidamine on olulised. Hooajati võib töö intensiivsus ja maht oluliselt suureneda.</w:t>
            </w:r>
          </w:p>
          <w:p w:rsidR="008B33CC" w:rsidRDefault="008B33CC">
            <w:pPr>
              <w:pStyle w:val="BodyText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8B33CC" w:rsidRDefault="008B33CC">
      <w:pPr>
        <w:pStyle w:val="Heading5"/>
        <w:jc w:val="left"/>
        <w:rPr>
          <w:sz w:val="28"/>
          <w:lang w:val="et-EE"/>
        </w:rPr>
      </w:pPr>
    </w:p>
    <w:p w:rsidR="008B33CC" w:rsidRDefault="008B33CC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8B33CC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arvuti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B33CC" w:rsidRDefault="008B33CC" w:rsidP="007569DE">
            <w:pPr>
              <w:numPr>
                <w:ilvl w:val="0"/>
                <w:numId w:val="3"/>
              </w:numPr>
            </w:pPr>
            <w:r>
              <w:t xml:space="preserve">büroomööbel </w:t>
            </w:r>
          </w:p>
        </w:tc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faks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8B33CC" w:rsidRDefault="008B33CC"/>
    <w:p w:rsidR="008B33CC" w:rsidRDefault="008B33C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B33CC" w:rsidRDefault="008B33C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Default="008B33CC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Inglise ja vene keele valdamine suhtlustasemel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  <w:p w:rsidR="008B33CC" w:rsidRDefault="008B33CC"/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Arvutioskus (väga hea)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8B33CC" w:rsidRDefault="008B33CC" w:rsidP="007569DE"/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6"/>
              </w:numPr>
            </w:pPr>
            <w:r>
              <w:t>Korrektsus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Täpsus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Kiirus</w:t>
            </w:r>
          </w:p>
        </w:tc>
      </w:tr>
    </w:tbl>
    <w:p w:rsidR="008B33CC" w:rsidRDefault="008B33CC">
      <w:pPr>
        <w:jc w:val="both"/>
        <w:rPr>
          <w:b/>
          <w:bCs/>
        </w:rPr>
      </w:pPr>
    </w:p>
    <w:p w:rsidR="007569DE" w:rsidRDefault="007569D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7569DE" w:rsidRDefault="007569D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8B33CC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lastRenderedPageBreak/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r>
        <w:t>VAHETU JUHT</w:t>
      </w:r>
      <w:r>
        <w:tab/>
      </w:r>
      <w:r>
        <w:tab/>
      </w:r>
      <w:r>
        <w:tab/>
      </w:r>
      <w:r>
        <w:tab/>
        <w:t xml:space="preserve">Nimi </w:t>
      </w:r>
    </w:p>
    <w:p w:rsidR="008B33CC" w:rsidRDefault="008B33CC"/>
    <w:p w:rsidR="008B33CC" w:rsidRDefault="008B33C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pPr>
        <w:jc w:val="both"/>
      </w:pPr>
      <w:r>
        <w:t>Kinnitan, et olen tutvunud ametijuhendiga ja kohustun järgima sellega ettenähtud tingimusi ja nõudeid.</w:t>
      </w:r>
    </w:p>
    <w:p w:rsidR="008B33CC" w:rsidRDefault="008B33CC"/>
    <w:p w:rsidR="008B33CC" w:rsidRDefault="008B33CC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8B33CC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78" w:rsidRDefault="004D5878">
      <w:r>
        <w:separator/>
      </w:r>
    </w:p>
  </w:endnote>
  <w:endnote w:type="continuationSeparator" w:id="0">
    <w:p w:rsidR="004D5878" w:rsidRDefault="004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78" w:rsidRDefault="004D5878">
      <w:r>
        <w:separator/>
      </w:r>
    </w:p>
  </w:footnote>
  <w:footnote w:type="continuationSeparator" w:id="0">
    <w:p w:rsidR="004D5878" w:rsidRDefault="004D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CC" w:rsidRDefault="008B33C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B33CC" w:rsidRDefault="008B33CC">
    <w:pPr>
      <w:pStyle w:val="Header"/>
      <w:rPr>
        <w:lang w:val="et-EE"/>
      </w:rPr>
    </w:pPr>
    <w:r>
      <w:rPr>
        <w:lang w:val="et-EE"/>
      </w:rPr>
      <w:t>Ametijuhend</w:t>
    </w:r>
  </w:p>
  <w:p w:rsidR="008B33CC" w:rsidRDefault="000A0CB8">
    <w:pPr>
      <w:pStyle w:val="Header"/>
      <w:rPr>
        <w:lang w:val="et-EE"/>
      </w:rPr>
    </w:pPr>
    <w:r>
      <w:rPr>
        <w:lang w:val="et-EE"/>
      </w:rPr>
      <w:t>Andres Rajaleid</w:t>
    </w:r>
  </w:p>
  <w:p w:rsidR="008B33CC" w:rsidRDefault="008B33C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A0CB8"/>
    <w:rsid w:val="000A7E19"/>
    <w:rsid w:val="000E4369"/>
    <w:rsid w:val="00166E07"/>
    <w:rsid w:val="00304612"/>
    <w:rsid w:val="00381AA2"/>
    <w:rsid w:val="00395E04"/>
    <w:rsid w:val="003E26BF"/>
    <w:rsid w:val="00401FC4"/>
    <w:rsid w:val="004D5878"/>
    <w:rsid w:val="006C44B5"/>
    <w:rsid w:val="007569DE"/>
    <w:rsid w:val="008B33CC"/>
    <w:rsid w:val="008B482E"/>
    <w:rsid w:val="008B50E0"/>
    <w:rsid w:val="009D24F3"/>
    <w:rsid w:val="009E0735"/>
    <w:rsid w:val="00AC226B"/>
    <w:rsid w:val="00B102A5"/>
    <w:rsid w:val="00B74BCE"/>
    <w:rsid w:val="00B96CE5"/>
    <w:rsid w:val="00BE724F"/>
    <w:rsid w:val="00C45205"/>
    <w:rsid w:val="00C62179"/>
    <w:rsid w:val="00D42AA8"/>
    <w:rsid w:val="00D53197"/>
    <w:rsid w:val="00DD399C"/>
    <w:rsid w:val="00E7152C"/>
    <w:rsid w:val="00E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5D754B-98CA-49E1-B3C9-AD5ED38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4552-87B0-4F6E-B9C3-82E5675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2008-06-06T08:10:00Z</cp:lastPrinted>
  <dcterms:created xsi:type="dcterms:W3CDTF">2019-10-01T12:45:00Z</dcterms:created>
  <dcterms:modified xsi:type="dcterms:W3CDTF">2019-10-01T12:45:00Z</dcterms:modified>
</cp:coreProperties>
</file>