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462" w:type="dxa"/>
        <w:tblLook w:val="04A0" w:firstRow="1" w:lastRow="0" w:firstColumn="1" w:lastColumn="0" w:noHBand="0" w:noVBand="1"/>
      </w:tblPr>
      <w:tblGrid>
        <w:gridCol w:w="3139"/>
        <w:gridCol w:w="10323"/>
      </w:tblGrid>
      <w:tr w:rsidR="000A5BF7" w:rsidRPr="008C24A5" w14:paraId="0ADF04EB" w14:textId="66C1BA6E" w:rsidTr="000A5BF7">
        <w:tc>
          <w:tcPr>
            <w:tcW w:w="13462" w:type="dxa"/>
            <w:gridSpan w:val="2"/>
          </w:tcPr>
          <w:p w14:paraId="079EE9C8" w14:textId="0D52E319" w:rsidR="000A5BF7" w:rsidRPr="008C24A5" w:rsidRDefault="000A5BF7" w:rsidP="00AF60FA">
            <w:pPr>
              <w:jc w:val="both"/>
              <w:rPr>
                <w:b/>
                <w:bCs/>
                <w:color w:val="BF4E14" w:themeColor="accent2" w:themeShade="BF"/>
                <w:lang w:val="et-EE"/>
              </w:rPr>
            </w:pPr>
            <w:r w:rsidRPr="008C24A5">
              <w:rPr>
                <w:b/>
                <w:bCs/>
                <w:color w:val="BF4E14" w:themeColor="accent2" w:themeShade="BF"/>
                <w:lang w:val="et-EE"/>
              </w:rPr>
              <w:t>NB! Koos tabeliga vaadata ka grupierandi määruse asjakohaseid artikleid. Tabel</w:t>
            </w:r>
            <w:r w:rsidR="008C24A5" w:rsidRPr="008C24A5">
              <w:rPr>
                <w:b/>
                <w:bCs/>
                <w:color w:val="BF4E14" w:themeColor="accent2" w:themeShade="BF"/>
                <w:lang w:val="et-EE"/>
              </w:rPr>
              <w:t xml:space="preserve"> on</w:t>
            </w:r>
            <w:r w:rsidRPr="008C24A5">
              <w:rPr>
                <w:b/>
                <w:bCs/>
                <w:color w:val="BF4E14" w:themeColor="accent2" w:themeShade="BF"/>
                <w:lang w:val="et-EE"/>
              </w:rPr>
              <w:t xml:space="preserve"> koostatud oktoobr</w:t>
            </w:r>
            <w:r w:rsidR="008C24A5" w:rsidRPr="008C24A5">
              <w:rPr>
                <w:b/>
                <w:bCs/>
                <w:color w:val="BF4E14" w:themeColor="accent2" w:themeShade="BF"/>
                <w:lang w:val="et-EE"/>
              </w:rPr>
              <w:t>is</w:t>
            </w:r>
            <w:r w:rsidRPr="008C24A5">
              <w:rPr>
                <w:b/>
                <w:bCs/>
                <w:color w:val="BF4E14" w:themeColor="accent2" w:themeShade="BF"/>
                <w:lang w:val="et-EE"/>
              </w:rPr>
              <w:t xml:space="preserve"> 2025</w:t>
            </w:r>
            <w:r w:rsidR="00F904D9" w:rsidRPr="008C24A5">
              <w:rPr>
                <w:b/>
                <w:bCs/>
                <w:color w:val="BF4E14" w:themeColor="accent2" w:themeShade="BF"/>
                <w:lang w:val="et-EE"/>
              </w:rPr>
              <w:t xml:space="preserve"> ja tabelit täiendatakse jooksvalt.</w:t>
            </w:r>
          </w:p>
          <w:p w14:paraId="1436D477" w14:textId="16CA5A7F" w:rsidR="000A5BF7" w:rsidRPr="008C24A5" w:rsidRDefault="000A5BF7" w:rsidP="00AF60FA">
            <w:pPr>
              <w:jc w:val="both"/>
              <w:rPr>
                <w:b/>
                <w:bCs/>
                <w:color w:val="EE0000"/>
                <w:lang w:val="et-EE"/>
              </w:rPr>
            </w:pPr>
            <w:r w:rsidRPr="008C24A5">
              <w:rPr>
                <w:b/>
                <w:bCs/>
                <w:color w:val="BF4E14" w:themeColor="accent2" w:themeShade="BF"/>
                <w:lang w:val="et-EE"/>
              </w:rPr>
              <w:t xml:space="preserve">NB! Loe ka </w:t>
            </w:r>
            <w:hyperlink r:id="rId5" w:history="1">
              <w:r w:rsidRPr="008C24A5">
                <w:rPr>
                  <w:rStyle w:val="Hyperlink"/>
                  <w:b/>
                  <w:bCs/>
                  <w:lang w:val="et-EE"/>
                </w:rPr>
                <w:t>meetme määrust</w:t>
              </w:r>
            </w:hyperlink>
            <w:r w:rsidRPr="00DE0368">
              <w:rPr>
                <w:b/>
                <w:bCs/>
                <w:color w:val="E97132" w:themeColor="accent2"/>
                <w:lang w:val="et-EE"/>
              </w:rPr>
              <w:t>.</w:t>
            </w:r>
          </w:p>
          <w:p w14:paraId="4F2C41E7" w14:textId="77777777" w:rsidR="000A5BF7" w:rsidRPr="008C24A5" w:rsidRDefault="000A5BF7" w:rsidP="00AF60FA">
            <w:pPr>
              <w:jc w:val="both"/>
              <w:rPr>
                <w:lang w:val="et-EE"/>
              </w:rPr>
            </w:pPr>
          </w:p>
          <w:p w14:paraId="66EF716B" w14:textId="353694E2" w:rsidR="000A5BF7" w:rsidRPr="008C24A5" w:rsidRDefault="000A5BF7" w:rsidP="00AF60FA">
            <w:pPr>
              <w:jc w:val="both"/>
              <w:rPr>
                <w:lang w:val="et-EE"/>
              </w:rPr>
            </w:pPr>
          </w:p>
        </w:tc>
      </w:tr>
      <w:tr w:rsidR="000A5BF7" w:rsidRPr="008C24A5" w14:paraId="3F4CCEF1" w14:textId="77777777" w:rsidTr="000A5BF7">
        <w:tc>
          <w:tcPr>
            <w:tcW w:w="3139" w:type="dxa"/>
          </w:tcPr>
          <w:p w14:paraId="061CB98E" w14:textId="6765AAC9" w:rsidR="000A5BF7" w:rsidRPr="008C24A5" w:rsidRDefault="000A5BF7" w:rsidP="00AF60FA">
            <w:pPr>
              <w:jc w:val="both"/>
              <w:rPr>
                <w:lang w:val="et-EE"/>
              </w:rPr>
            </w:pPr>
          </w:p>
        </w:tc>
        <w:tc>
          <w:tcPr>
            <w:tcW w:w="10323" w:type="dxa"/>
          </w:tcPr>
          <w:p w14:paraId="17073742" w14:textId="11C029EE" w:rsidR="000A5BF7" w:rsidRPr="008C24A5" w:rsidRDefault="000A5BF7" w:rsidP="00AF60FA">
            <w:pPr>
              <w:jc w:val="both"/>
              <w:rPr>
                <w:lang w:val="et-EE"/>
              </w:rPr>
            </w:pPr>
            <w:hyperlink r:id="rId6" w:history="1">
              <w:r w:rsidRPr="008C24A5">
                <w:rPr>
                  <w:rStyle w:val="Hyperlink"/>
                  <w:b/>
                  <w:bCs/>
                  <w:lang w:val="et-EE"/>
                </w:rPr>
                <w:t>EL nr 651/2014</w:t>
              </w:r>
            </w:hyperlink>
            <w:r w:rsidRPr="008C24A5">
              <w:rPr>
                <w:lang w:val="et-EE"/>
              </w:rPr>
              <w:t xml:space="preserve"> (GBER, ÜGEM)</w:t>
            </w:r>
            <w:r w:rsidR="00E5087B">
              <w:rPr>
                <w:lang w:val="et-EE"/>
              </w:rPr>
              <w:t xml:space="preserve"> </w:t>
            </w:r>
          </w:p>
        </w:tc>
      </w:tr>
      <w:tr w:rsidR="000A5BF7" w:rsidRPr="008C24A5" w14:paraId="178E83C7" w14:textId="77777777" w:rsidTr="000A5BF7">
        <w:tc>
          <w:tcPr>
            <w:tcW w:w="3139" w:type="dxa"/>
          </w:tcPr>
          <w:p w14:paraId="031ECE61" w14:textId="6E4D3753" w:rsidR="000A5BF7" w:rsidRPr="008C24A5" w:rsidRDefault="000A5BF7" w:rsidP="00AF60FA">
            <w:pPr>
              <w:jc w:val="both"/>
              <w:rPr>
                <w:lang w:val="et-EE"/>
              </w:rPr>
            </w:pPr>
          </w:p>
        </w:tc>
        <w:tc>
          <w:tcPr>
            <w:tcW w:w="10323" w:type="dxa"/>
          </w:tcPr>
          <w:p w14:paraId="4FE00AB2" w14:textId="59EAC1F7" w:rsidR="000A5BF7" w:rsidRPr="008C24A5" w:rsidRDefault="000A5BF7" w:rsidP="00AF60FA">
            <w:pPr>
              <w:jc w:val="both"/>
              <w:rPr>
                <w:lang w:val="et-EE"/>
              </w:rPr>
            </w:pPr>
          </w:p>
        </w:tc>
      </w:tr>
      <w:tr w:rsidR="000A5BF7" w:rsidRPr="008C24A5" w14:paraId="4F6E5490" w14:textId="77777777" w:rsidTr="000A5BF7">
        <w:tc>
          <w:tcPr>
            <w:tcW w:w="3139" w:type="dxa"/>
          </w:tcPr>
          <w:p w14:paraId="7F119330" w14:textId="77777777" w:rsidR="000A5BF7" w:rsidRPr="008C24A5" w:rsidRDefault="000A5BF7" w:rsidP="00AF60FA">
            <w:pPr>
              <w:jc w:val="both"/>
              <w:rPr>
                <w:b/>
                <w:bCs/>
                <w:lang w:val="et-EE"/>
              </w:rPr>
            </w:pPr>
            <w:r w:rsidRPr="008C24A5">
              <w:rPr>
                <w:b/>
                <w:bCs/>
                <w:lang w:val="et-EE"/>
              </w:rPr>
              <w:t>Artikkel 26</w:t>
            </w:r>
          </w:p>
          <w:p w14:paraId="51622F0D" w14:textId="067E952C" w:rsidR="000A5BF7" w:rsidRPr="008C24A5" w:rsidRDefault="000A5BF7" w:rsidP="00AF60FA">
            <w:pPr>
              <w:jc w:val="both"/>
              <w:rPr>
                <w:lang w:val="et-EE"/>
              </w:rPr>
            </w:pPr>
          </w:p>
        </w:tc>
        <w:tc>
          <w:tcPr>
            <w:tcW w:w="10323" w:type="dxa"/>
          </w:tcPr>
          <w:p w14:paraId="7291740F" w14:textId="77777777" w:rsidR="000A5BF7" w:rsidRPr="008C24A5" w:rsidRDefault="000A5BF7" w:rsidP="00AF60FA">
            <w:pPr>
              <w:jc w:val="both"/>
              <w:rPr>
                <w:b/>
                <w:bCs/>
                <w:lang w:val="et-EE"/>
              </w:rPr>
            </w:pPr>
            <w:r w:rsidRPr="008C24A5">
              <w:rPr>
                <w:b/>
                <w:bCs/>
                <w:lang w:val="et-EE"/>
              </w:rPr>
              <w:t>Investeeringuteks ettenähtud abi teadusuuringute taristule</w:t>
            </w:r>
          </w:p>
          <w:p w14:paraId="60048F4F" w14:textId="77777777" w:rsidR="000A5BF7" w:rsidRPr="008C24A5" w:rsidRDefault="000A5BF7" w:rsidP="00AF60FA">
            <w:pPr>
              <w:jc w:val="both"/>
              <w:rPr>
                <w:b/>
                <w:bCs/>
                <w:lang w:val="et-EE"/>
              </w:rPr>
            </w:pPr>
          </w:p>
          <w:p w14:paraId="12A314DE" w14:textId="473CC40E" w:rsidR="000A5BF7" w:rsidRPr="008C24A5" w:rsidRDefault="000A5BF7" w:rsidP="00AF60FA">
            <w:pPr>
              <w:jc w:val="both"/>
              <w:rPr>
                <w:lang w:val="et-EE"/>
              </w:rPr>
            </w:pPr>
            <w:r w:rsidRPr="008C24A5">
              <w:rPr>
                <w:lang w:val="et-EE"/>
              </w:rPr>
              <w:t xml:space="preserve">(GBER </w:t>
            </w:r>
            <w:hyperlink r:id="rId7" w:anchor=":~:text=%E2%96%BCB-,91)%C2%A0,-%E2%80%9Eteadusuuringute%20taristu%E2%80%9D%20%E2%80%94%20rajatised" w:history="1">
              <w:r w:rsidRPr="008C24A5">
                <w:rPr>
                  <w:rStyle w:val="Hyperlink"/>
                  <w:lang w:val="et-EE"/>
                </w:rPr>
                <w:t>art 2 p 91</w:t>
              </w:r>
            </w:hyperlink>
            <w:r w:rsidRPr="008C24A5">
              <w:rPr>
                <w:lang w:val="et-EE"/>
              </w:rPr>
              <w:t>)</w:t>
            </w:r>
            <w:r w:rsidR="00840FE0">
              <w:rPr>
                <w:lang w:val="et-EE"/>
              </w:rPr>
              <w:t xml:space="preserve"> </w:t>
            </w:r>
            <w:r w:rsidRPr="008C24A5">
              <w:rPr>
                <w:b/>
                <w:bCs/>
                <w:lang w:val="et-EE"/>
              </w:rPr>
              <w:t>teadusuuringute taristu</w:t>
            </w:r>
            <w:r w:rsidRPr="008C24A5">
              <w:rPr>
                <w:lang w:val="et-EE"/>
              </w:rPr>
              <w:t>” — rajatised, vahendid ja nendega seotud teenused, mida teadusringkonnad kasutavad teadusuuringuteks vastavates valdkondades. Mõiste hõlmab järgmist: teadusseadmed ja uurimistarbed, teadmistepõhised ressursid, näiteks kollektsioonid, arhiivid ja struktureeritud teaduslik teave, info- ja kommunikatsioonitehnoloogial põhinevad taristud, näiteks võrgud, infotöötlus, tarkvara ja kommunikatsioonivahendid ning muud teadusuuringute teostamiseks vajalikud üksused. Sellised teadusuuringute taristud võivad asuda ühes kohas või olla jaotatud (organiseeritud ressursivõrgustik);</w:t>
            </w:r>
          </w:p>
          <w:p w14:paraId="068199A1" w14:textId="77777777" w:rsidR="000A5BF7" w:rsidRPr="008C24A5" w:rsidRDefault="000A5BF7" w:rsidP="00AF60FA">
            <w:pPr>
              <w:jc w:val="both"/>
              <w:rPr>
                <w:lang w:val="et-EE"/>
              </w:rPr>
            </w:pPr>
          </w:p>
          <w:p w14:paraId="12ACECBC" w14:textId="77777777" w:rsidR="000A5BF7" w:rsidRPr="008C24A5" w:rsidRDefault="000A5BF7" w:rsidP="00AF60FA">
            <w:pPr>
              <w:pStyle w:val="ListParagraph"/>
              <w:numPr>
                <w:ilvl w:val="0"/>
                <w:numId w:val="1"/>
              </w:numPr>
              <w:jc w:val="both"/>
              <w:rPr>
                <w:lang w:val="et-EE"/>
              </w:rPr>
            </w:pPr>
            <w:r w:rsidRPr="008C24A5">
              <w:rPr>
                <w:lang w:val="et-EE"/>
              </w:rPr>
              <w:t>Kui taristu tegeleb nii majandusliku kui mittemajandusliku tegevusega, siis tuleb tegevusliike raamatupidamises eraldi arvestada (art 26 p 2);</w:t>
            </w:r>
          </w:p>
          <w:p w14:paraId="595D6C63" w14:textId="04522474" w:rsidR="000A5BF7" w:rsidRPr="008C24A5" w:rsidRDefault="000A5BF7" w:rsidP="00AF60FA">
            <w:pPr>
              <w:pStyle w:val="ListParagraph"/>
              <w:numPr>
                <w:ilvl w:val="0"/>
                <w:numId w:val="1"/>
              </w:numPr>
              <w:jc w:val="both"/>
              <w:rPr>
                <w:lang w:val="et-EE"/>
              </w:rPr>
            </w:pPr>
            <w:r w:rsidRPr="008C24A5">
              <w:rPr>
                <w:lang w:val="et-EE"/>
              </w:rPr>
              <w:t>Kasutamise eest võetav tasu peab vastama turuhinnale;</w:t>
            </w:r>
          </w:p>
          <w:p w14:paraId="7404B09C" w14:textId="77777777" w:rsidR="000A5BF7" w:rsidRPr="008C24A5" w:rsidRDefault="000A5BF7" w:rsidP="00AF60FA">
            <w:pPr>
              <w:pStyle w:val="ListParagraph"/>
              <w:numPr>
                <w:ilvl w:val="0"/>
                <w:numId w:val="1"/>
              </w:numPr>
              <w:jc w:val="both"/>
              <w:rPr>
                <w:lang w:val="et-EE"/>
              </w:rPr>
            </w:pPr>
            <w:r w:rsidRPr="008C24A5">
              <w:rPr>
                <w:lang w:val="et-EE"/>
              </w:rPr>
              <w:t>Juurdepääs taristule peab olema avatud mitmele kasutajale, läbipaistev ja mittediskrimineeriv;</w:t>
            </w:r>
          </w:p>
          <w:p w14:paraId="3B1F54B1" w14:textId="3666C2BA" w:rsidR="000A5BF7" w:rsidRPr="008C24A5" w:rsidRDefault="000A5BF7" w:rsidP="00AF60FA">
            <w:pPr>
              <w:pStyle w:val="ListParagraph"/>
              <w:numPr>
                <w:ilvl w:val="0"/>
                <w:numId w:val="1"/>
              </w:numPr>
              <w:jc w:val="both"/>
              <w:rPr>
                <w:lang w:val="et-EE"/>
              </w:rPr>
            </w:pPr>
            <w:r w:rsidRPr="008C24A5">
              <w:rPr>
                <w:lang w:val="et-EE"/>
              </w:rPr>
              <w:t>Abikõlblikud on materiaalsesse ja immateriaalsesse varasse tehtud investeeringute kulud.</w:t>
            </w:r>
          </w:p>
          <w:p w14:paraId="380E9964" w14:textId="77777777" w:rsidR="000A5BF7" w:rsidRPr="008C24A5" w:rsidRDefault="000A5BF7" w:rsidP="00AF60FA">
            <w:pPr>
              <w:jc w:val="both"/>
              <w:rPr>
                <w:lang w:val="et-EE"/>
              </w:rPr>
            </w:pPr>
          </w:p>
          <w:p w14:paraId="1B2A2AFE" w14:textId="77777777" w:rsidR="000A5BF7" w:rsidRPr="008C24A5" w:rsidRDefault="000A5BF7" w:rsidP="00AF60FA">
            <w:pPr>
              <w:pStyle w:val="ListParagraph"/>
              <w:numPr>
                <w:ilvl w:val="0"/>
                <w:numId w:val="1"/>
              </w:numPr>
              <w:jc w:val="both"/>
              <w:rPr>
                <w:lang w:val="et-EE"/>
              </w:rPr>
            </w:pPr>
            <w:r w:rsidRPr="008C24A5">
              <w:rPr>
                <w:lang w:val="et-EE"/>
              </w:rPr>
              <w:t xml:space="preserve">Abi osakaal </w:t>
            </w:r>
            <w:r w:rsidRPr="008C24A5">
              <w:rPr>
                <w:b/>
                <w:bCs/>
                <w:lang w:val="et-EE"/>
              </w:rPr>
              <w:t>50%.</w:t>
            </w:r>
          </w:p>
          <w:p w14:paraId="3BC00586" w14:textId="77777777" w:rsidR="000A5BF7" w:rsidRPr="008C24A5" w:rsidRDefault="000A5BF7" w:rsidP="00AF60FA">
            <w:pPr>
              <w:pStyle w:val="ListParagraph"/>
              <w:jc w:val="both"/>
              <w:rPr>
                <w:lang w:val="et-EE"/>
              </w:rPr>
            </w:pPr>
          </w:p>
          <w:p w14:paraId="6BB51C0E" w14:textId="5583541A" w:rsidR="000A5BF7" w:rsidRPr="008C24A5" w:rsidRDefault="000A5BF7" w:rsidP="00AF60FA">
            <w:pPr>
              <w:jc w:val="both"/>
              <w:rPr>
                <w:color w:val="EE0000"/>
                <w:lang w:val="et-EE"/>
              </w:rPr>
            </w:pPr>
            <w:r w:rsidRPr="008C24A5">
              <w:rPr>
                <w:color w:val="BF4E14" w:themeColor="accent2" w:themeShade="BF"/>
                <w:lang w:val="et-EE"/>
              </w:rPr>
              <w:t xml:space="preserve">NB! Teisi </w:t>
            </w:r>
            <w:hyperlink r:id="rId8" w:anchor=":~:text=Artikkel%2026-,Investeeringuteks%20etten%C3%A4htud%20abi%20teadusuuringute%20taristule,-1.%C2%A0%C2%A0%20Majandustegevust" w:history="1">
              <w:r w:rsidRPr="008C24A5">
                <w:rPr>
                  <w:rStyle w:val="Hyperlink"/>
                  <w:lang w:val="et-EE"/>
                </w:rPr>
                <w:t>artiklis 26</w:t>
              </w:r>
            </w:hyperlink>
            <w:r w:rsidRPr="008C24A5">
              <w:rPr>
                <w:lang w:val="et-EE"/>
              </w:rPr>
              <w:t xml:space="preserve"> </w:t>
            </w:r>
            <w:r w:rsidRPr="008C24A5">
              <w:rPr>
                <w:color w:val="BF4E14" w:themeColor="accent2" w:themeShade="BF"/>
                <w:lang w:val="et-EE"/>
              </w:rPr>
              <w:t xml:space="preserve">ja üldsätetes sisalduvaid nõudeid vaata GBER-ist ning lisaks vaata ka </w:t>
            </w:r>
            <w:hyperlink r:id="rId9" w:history="1">
              <w:r w:rsidRPr="008C24A5">
                <w:rPr>
                  <w:rStyle w:val="Hyperlink"/>
                  <w:b/>
                  <w:bCs/>
                  <w:lang w:val="et-EE"/>
                </w:rPr>
                <w:t>meetme määrust</w:t>
              </w:r>
            </w:hyperlink>
            <w:r w:rsidRPr="008C24A5">
              <w:rPr>
                <w:b/>
                <w:bCs/>
                <w:color w:val="EE0000"/>
                <w:lang w:val="et-EE"/>
              </w:rPr>
              <w:t>.</w:t>
            </w:r>
          </w:p>
          <w:p w14:paraId="3EB3E3AF" w14:textId="373EA41B" w:rsidR="000A5BF7" w:rsidRPr="008C24A5" w:rsidRDefault="000A5BF7" w:rsidP="00AF60FA">
            <w:pPr>
              <w:jc w:val="both"/>
              <w:rPr>
                <w:lang w:val="et-EE"/>
              </w:rPr>
            </w:pPr>
          </w:p>
        </w:tc>
      </w:tr>
      <w:tr w:rsidR="000A5BF7" w:rsidRPr="008C24A5" w14:paraId="7A7791C9" w14:textId="77777777" w:rsidTr="000A5BF7">
        <w:trPr>
          <w:trHeight w:val="699"/>
        </w:trPr>
        <w:tc>
          <w:tcPr>
            <w:tcW w:w="3139" w:type="dxa"/>
          </w:tcPr>
          <w:p w14:paraId="3DB24F7C" w14:textId="5FA85A88" w:rsidR="000A5BF7" w:rsidRPr="008C24A5" w:rsidRDefault="000A5BF7" w:rsidP="00AF60FA">
            <w:pPr>
              <w:jc w:val="both"/>
              <w:rPr>
                <w:b/>
                <w:bCs/>
                <w:lang w:val="et-EE"/>
              </w:rPr>
            </w:pPr>
            <w:r w:rsidRPr="008C24A5">
              <w:rPr>
                <w:b/>
                <w:bCs/>
                <w:lang w:val="et-EE"/>
              </w:rPr>
              <w:t xml:space="preserve">Artikkel 27 </w:t>
            </w:r>
          </w:p>
        </w:tc>
        <w:tc>
          <w:tcPr>
            <w:tcW w:w="10323" w:type="dxa"/>
          </w:tcPr>
          <w:p w14:paraId="0FC41087" w14:textId="77777777" w:rsidR="000A5BF7" w:rsidRPr="008C24A5" w:rsidRDefault="000A5BF7" w:rsidP="00AF60FA">
            <w:pPr>
              <w:jc w:val="both"/>
              <w:rPr>
                <w:b/>
                <w:bCs/>
                <w:lang w:val="et-EE"/>
              </w:rPr>
            </w:pPr>
            <w:r w:rsidRPr="008C24A5">
              <w:rPr>
                <w:b/>
                <w:bCs/>
                <w:lang w:val="et-EE"/>
              </w:rPr>
              <w:t>Innovatsiooniklastritele antav abi</w:t>
            </w:r>
          </w:p>
          <w:p w14:paraId="6D11649F" w14:textId="77777777" w:rsidR="000A5BF7" w:rsidRPr="008C24A5" w:rsidRDefault="000A5BF7" w:rsidP="00AF60FA">
            <w:pPr>
              <w:jc w:val="both"/>
              <w:rPr>
                <w:lang w:val="et-EE"/>
              </w:rPr>
            </w:pPr>
          </w:p>
          <w:p w14:paraId="0032B097" w14:textId="6107397F" w:rsidR="000A5BF7" w:rsidRPr="008C24A5" w:rsidRDefault="000A5BF7" w:rsidP="00AF60FA">
            <w:pPr>
              <w:jc w:val="both"/>
              <w:rPr>
                <w:lang w:val="et-EE"/>
              </w:rPr>
            </w:pPr>
            <w:r w:rsidRPr="008C24A5">
              <w:rPr>
                <w:lang w:val="et-EE"/>
              </w:rPr>
              <w:t xml:space="preserve">(GBER </w:t>
            </w:r>
            <w:hyperlink r:id="rId10" w:anchor=":~:text=%E2%96%BCM6-,92)%C2%A0,-%E2%80%9Einnovatsiooniklaster%E2%80%9D%20%E2%80%93%20struktuur%20v%C3%B5i" w:history="1">
              <w:r w:rsidRPr="008C24A5">
                <w:rPr>
                  <w:rStyle w:val="Hyperlink"/>
                  <w:lang w:val="et-EE"/>
                </w:rPr>
                <w:t>art 2 p 92</w:t>
              </w:r>
            </w:hyperlink>
            <w:r w:rsidRPr="008C24A5">
              <w:rPr>
                <w:lang w:val="et-EE"/>
              </w:rPr>
              <w:t>)</w:t>
            </w:r>
            <w:r w:rsidRPr="008C24A5">
              <w:rPr>
                <w:b/>
                <w:bCs/>
                <w:lang w:val="et-EE"/>
              </w:rPr>
              <w:t xml:space="preserve"> innovatsiooniklaster</w:t>
            </w:r>
            <w:r w:rsidRPr="008C24A5">
              <w:rPr>
                <w:lang w:val="et-EE"/>
              </w:rPr>
              <w:t xml:space="preserve">” – struktuur või organiseeritud rühm, mis </w:t>
            </w:r>
            <w:r w:rsidRPr="008C24A5">
              <w:rPr>
                <w:b/>
                <w:bCs/>
                <w:lang w:val="et-EE"/>
              </w:rPr>
              <w:t>koosneb sõltumatutest pooltest</w:t>
            </w:r>
            <w:r w:rsidRPr="008C24A5">
              <w:rPr>
                <w:lang w:val="et-EE"/>
              </w:rPr>
              <w:t xml:space="preserve"> (näiteks innovaatilised idufirmad, väikesed, keskmise suurusega ja suurettevõtjad, teadusorganisatsioonid ja teadmisi levitavad organisatsioonid, teadustaristud, katse- ja eksperimenditaristud, digitaalse innovatsiooni keskused, mittetulundusühingud ning muud nendega seotud ettevõtjad) ning mille </w:t>
            </w:r>
            <w:r w:rsidRPr="008C24A5">
              <w:rPr>
                <w:b/>
                <w:bCs/>
                <w:lang w:val="et-EE"/>
              </w:rPr>
              <w:t>eesmärk on soodustada innovatsiooni ja uusi</w:t>
            </w:r>
            <w:r w:rsidRPr="008C24A5">
              <w:rPr>
                <w:lang w:val="et-EE"/>
              </w:rPr>
              <w:t xml:space="preserve"> (näiteks digitaalseid) koostööviise </w:t>
            </w:r>
            <w:r w:rsidRPr="008C24A5">
              <w:rPr>
                <w:lang w:val="et-EE"/>
              </w:rPr>
              <w:lastRenderedPageBreak/>
              <w:t>taristu jagamise ja/või selle jagamise edendamise, teadmiste ja kogemuste vahetamise ning klastri ettevõtjate ja muude organisatsioonide vahelise teadmussiirde, võrgustumise, teabe levitamise ja koostöö tõhusa toetamise kaudu. Digitaalse innovatsiooni keskused (sealhulgas Euroopa digitaalse innovatsiooni keskused, mida rahastatakse Euroopa Parlamendi ja nõukogu määrusega (EL) 2021/694 (</w:t>
            </w:r>
            <w:hyperlink r:id="rId11" w:anchor="E0020" w:history="1">
              <w:r w:rsidRPr="008C24A5">
                <w:rPr>
                  <w:rStyle w:val="Hyperlink"/>
                  <w:lang w:val="et-EE"/>
                </w:rPr>
                <w:t> </w:t>
              </w:r>
              <w:r w:rsidRPr="008C24A5">
                <w:rPr>
                  <w:rStyle w:val="Hyperlink"/>
                  <w:vertAlign w:val="superscript"/>
                  <w:lang w:val="et-EE"/>
                </w:rPr>
                <w:t>20</w:t>
              </w:r>
              <w:r w:rsidRPr="008C24A5">
                <w:rPr>
                  <w:rStyle w:val="Hyperlink"/>
                  <w:lang w:val="et-EE"/>
                </w:rPr>
                <w:t> </w:t>
              </w:r>
            </w:hyperlink>
            <w:r w:rsidRPr="008C24A5">
              <w:rPr>
                <w:lang w:val="et-EE"/>
              </w:rPr>
              <w:t>) loodud keskselt hallatavast programmist „Digitaalne Euroopa”) on üksused, mille eesmärk on stimuleerida digitehnoloogia, näiteks tehisintellekti, pilvandmetöötluse, servtöötluse ning kõrgjõudlusega andmetöötluse ja küberturbe ulatuslikku kasutuselevõttu tööstuses (eelkõige VKEd) ja avaliku sektori organisatsioonide poolt. Digitaalse innovatsiooni keskusi võib käsitada käesoleva määruse tähenduses iseseisvalt innovatsiooniklastrina;</w:t>
            </w:r>
          </w:p>
          <w:p w14:paraId="4131E9D7" w14:textId="77777777" w:rsidR="000A5BF7" w:rsidRPr="008C24A5" w:rsidRDefault="000A5BF7" w:rsidP="00AF60FA">
            <w:pPr>
              <w:jc w:val="both"/>
              <w:rPr>
                <w:lang w:val="et-EE"/>
              </w:rPr>
            </w:pPr>
          </w:p>
          <w:p w14:paraId="5020287B" w14:textId="1B850EDB" w:rsidR="000A5BF7" w:rsidRPr="008C24A5" w:rsidRDefault="000A5BF7" w:rsidP="00AF60FA">
            <w:pPr>
              <w:pStyle w:val="ListParagraph"/>
              <w:numPr>
                <w:ilvl w:val="0"/>
                <w:numId w:val="2"/>
              </w:numPr>
              <w:jc w:val="both"/>
              <w:rPr>
                <w:lang w:val="et-EE"/>
              </w:rPr>
            </w:pPr>
            <w:r w:rsidRPr="008C24A5">
              <w:rPr>
                <w:lang w:val="et-EE"/>
              </w:rPr>
              <w:t>Investeeringuteks ettenähtud abi võib anda innovatsiooniklastri omanikule;</w:t>
            </w:r>
          </w:p>
          <w:p w14:paraId="06068FBA" w14:textId="7C30FF15" w:rsidR="000A5BF7" w:rsidRPr="008C24A5" w:rsidRDefault="000A5BF7" w:rsidP="00AF60FA">
            <w:pPr>
              <w:pStyle w:val="ListParagraph"/>
              <w:numPr>
                <w:ilvl w:val="0"/>
                <w:numId w:val="2"/>
              </w:numPr>
              <w:jc w:val="both"/>
              <w:rPr>
                <w:lang w:val="et-EE"/>
              </w:rPr>
            </w:pPr>
            <w:r w:rsidRPr="008C24A5">
              <w:rPr>
                <w:lang w:val="et-EE"/>
              </w:rPr>
              <w:t>Juurdepääs klastri territooriumile, käitistele ja tegevustele peab olema avatud mitmele kasutajale, läbipaistev ja mittediskrimineeriv. </w:t>
            </w:r>
          </w:p>
          <w:p w14:paraId="06FC7273" w14:textId="0588C3DA" w:rsidR="000A5BF7" w:rsidRPr="008C24A5" w:rsidRDefault="000A5BF7" w:rsidP="00AF60FA">
            <w:pPr>
              <w:pStyle w:val="ListParagraph"/>
              <w:numPr>
                <w:ilvl w:val="0"/>
                <w:numId w:val="2"/>
              </w:numPr>
              <w:jc w:val="both"/>
              <w:rPr>
                <w:lang w:val="et-EE"/>
              </w:rPr>
            </w:pPr>
            <w:r w:rsidRPr="008C24A5">
              <w:rPr>
                <w:lang w:val="et-EE"/>
              </w:rPr>
              <w:t>Klastri rajatiste kasutamise ja nende tegevuses osalemise tasud peavad vastama turuhinnale või kuludele koos mõistliku marginaaliga.</w:t>
            </w:r>
          </w:p>
          <w:p w14:paraId="05246230" w14:textId="0C895CA1" w:rsidR="000A5BF7" w:rsidRPr="008C24A5" w:rsidRDefault="000A5BF7" w:rsidP="00AF60FA">
            <w:pPr>
              <w:pStyle w:val="ListParagraph"/>
              <w:numPr>
                <w:ilvl w:val="0"/>
                <w:numId w:val="2"/>
              </w:numPr>
              <w:jc w:val="both"/>
              <w:rPr>
                <w:lang w:val="et-EE"/>
              </w:rPr>
            </w:pPr>
            <w:r w:rsidRPr="008C24A5">
              <w:rPr>
                <w:lang w:val="et-EE"/>
              </w:rPr>
              <w:t>Abikõlblikud on materiaalsesse ja immateriaalsesse varasse tehtud investeeringute kulud.</w:t>
            </w:r>
          </w:p>
          <w:p w14:paraId="0CB33255" w14:textId="77777777" w:rsidR="00FA2FC3" w:rsidRPr="008C24A5" w:rsidRDefault="00FA2FC3" w:rsidP="00AF60FA">
            <w:pPr>
              <w:ind w:left="360"/>
              <w:jc w:val="both"/>
              <w:rPr>
                <w:lang w:val="et-EE"/>
              </w:rPr>
            </w:pPr>
          </w:p>
          <w:p w14:paraId="149E1508" w14:textId="7A77F325" w:rsidR="000A5BF7" w:rsidRPr="008C24A5" w:rsidRDefault="000A5BF7" w:rsidP="00AF60FA">
            <w:pPr>
              <w:pStyle w:val="ListParagraph"/>
              <w:numPr>
                <w:ilvl w:val="0"/>
                <w:numId w:val="2"/>
              </w:numPr>
              <w:jc w:val="both"/>
              <w:rPr>
                <w:lang w:val="et-EE"/>
              </w:rPr>
            </w:pPr>
            <w:r w:rsidRPr="008C24A5">
              <w:rPr>
                <w:lang w:val="et-EE"/>
              </w:rPr>
              <w:t xml:space="preserve">Abi osakaal ei tohi ületada </w:t>
            </w:r>
            <w:r w:rsidRPr="008C24A5">
              <w:rPr>
                <w:b/>
                <w:bCs/>
                <w:lang w:val="et-EE"/>
              </w:rPr>
              <w:t xml:space="preserve">50 % </w:t>
            </w:r>
            <w:r w:rsidRPr="008C24A5">
              <w:rPr>
                <w:lang w:val="et-EE"/>
              </w:rPr>
              <w:t>abikõlblikest kuludest.</w:t>
            </w:r>
          </w:p>
          <w:p w14:paraId="090C4D74" w14:textId="77777777" w:rsidR="000A5BF7" w:rsidRPr="008C24A5" w:rsidRDefault="000A5BF7" w:rsidP="00AF60FA">
            <w:pPr>
              <w:jc w:val="both"/>
              <w:rPr>
                <w:lang w:val="et-EE"/>
              </w:rPr>
            </w:pPr>
          </w:p>
          <w:p w14:paraId="38C043F6" w14:textId="63338033" w:rsidR="000A5BF7" w:rsidRPr="008C24A5" w:rsidRDefault="000A5BF7" w:rsidP="00AF60FA">
            <w:pPr>
              <w:jc w:val="both"/>
              <w:rPr>
                <w:color w:val="EE0000"/>
                <w:lang w:val="et-EE"/>
              </w:rPr>
            </w:pPr>
            <w:r w:rsidRPr="008C24A5">
              <w:rPr>
                <w:color w:val="BF4E14" w:themeColor="accent2" w:themeShade="BF"/>
                <w:lang w:val="et-EE"/>
              </w:rPr>
              <w:t>NB! Teisi</w:t>
            </w:r>
            <w:r w:rsidRPr="008C24A5">
              <w:rPr>
                <w:color w:val="EE0000"/>
                <w:lang w:val="et-EE"/>
              </w:rPr>
              <w:t xml:space="preserve"> </w:t>
            </w:r>
            <w:hyperlink r:id="rId12" w:anchor=":~:text=Artikkel%2027-,Innovatsiooniklastritele%20antav%20abi,-1.%C2%A0%C2%A0%20Innovatsiooniklastritele" w:history="1">
              <w:r w:rsidRPr="008C24A5">
                <w:rPr>
                  <w:rStyle w:val="Hyperlink"/>
                  <w:lang w:val="et-EE"/>
                </w:rPr>
                <w:t>artiklis 27</w:t>
              </w:r>
            </w:hyperlink>
            <w:r w:rsidRPr="008C24A5">
              <w:rPr>
                <w:lang w:val="et-EE"/>
              </w:rPr>
              <w:t xml:space="preserve"> </w:t>
            </w:r>
            <w:r w:rsidRPr="008C24A5">
              <w:rPr>
                <w:color w:val="BF4E14" w:themeColor="accent2" w:themeShade="BF"/>
                <w:lang w:val="et-EE"/>
              </w:rPr>
              <w:t xml:space="preserve">ja üldsätetes sisalduvaid nõudeid vaata GBER-ist ning lisaks vaata ka </w:t>
            </w:r>
            <w:hyperlink r:id="rId13" w:history="1">
              <w:r w:rsidRPr="008C24A5">
                <w:rPr>
                  <w:rStyle w:val="Hyperlink"/>
                  <w:b/>
                  <w:bCs/>
                  <w:lang w:val="et-EE"/>
                </w:rPr>
                <w:t>meetme määrust</w:t>
              </w:r>
            </w:hyperlink>
            <w:r w:rsidRPr="008C24A5">
              <w:rPr>
                <w:color w:val="EE0000"/>
                <w:lang w:val="et-EE"/>
              </w:rPr>
              <w:t>.</w:t>
            </w:r>
          </w:p>
          <w:p w14:paraId="7CA02435" w14:textId="58A5EBBF" w:rsidR="000A5BF7" w:rsidRPr="008C24A5" w:rsidRDefault="000A5BF7" w:rsidP="00AF60FA">
            <w:pPr>
              <w:jc w:val="both"/>
              <w:rPr>
                <w:lang w:val="et-EE"/>
              </w:rPr>
            </w:pPr>
          </w:p>
        </w:tc>
      </w:tr>
      <w:tr w:rsidR="000A5BF7" w:rsidRPr="008C24A5" w14:paraId="350625BA" w14:textId="77777777" w:rsidTr="000A5BF7">
        <w:tc>
          <w:tcPr>
            <w:tcW w:w="3139" w:type="dxa"/>
          </w:tcPr>
          <w:p w14:paraId="39724C38" w14:textId="7A763660" w:rsidR="000A5BF7" w:rsidRPr="008C24A5" w:rsidRDefault="000A5BF7" w:rsidP="00AF60FA">
            <w:pPr>
              <w:jc w:val="both"/>
              <w:rPr>
                <w:b/>
                <w:bCs/>
                <w:lang w:val="et-EE"/>
              </w:rPr>
            </w:pPr>
            <w:r w:rsidRPr="008C24A5">
              <w:rPr>
                <w:b/>
                <w:bCs/>
                <w:lang w:val="et-EE"/>
              </w:rPr>
              <w:lastRenderedPageBreak/>
              <w:t xml:space="preserve">Artikkel 56 </w:t>
            </w:r>
          </w:p>
        </w:tc>
        <w:tc>
          <w:tcPr>
            <w:tcW w:w="10323" w:type="dxa"/>
          </w:tcPr>
          <w:p w14:paraId="503526BF" w14:textId="1D1C454B" w:rsidR="000A5BF7" w:rsidRPr="008C24A5" w:rsidRDefault="000A5BF7" w:rsidP="00AF60FA">
            <w:pPr>
              <w:jc w:val="both"/>
              <w:rPr>
                <w:b/>
                <w:bCs/>
                <w:lang w:val="et-EE"/>
              </w:rPr>
            </w:pPr>
            <w:r w:rsidRPr="008C24A5">
              <w:rPr>
                <w:b/>
                <w:bCs/>
                <w:lang w:val="et-EE"/>
              </w:rPr>
              <w:t>Kohalikule taristule antav investeeringuteks ettenähtud abi</w:t>
            </w:r>
          </w:p>
          <w:p w14:paraId="3599E311" w14:textId="77777777" w:rsidR="000A5BF7" w:rsidRPr="008C24A5" w:rsidRDefault="000A5BF7" w:rsidP="00AF60FA">
            <w:pPr>
              <w:jc w:val="both"/>
              <w:rPr>
                <w:lang w:val="et-EE"/>
              </w:rPr>
            </w:pPr>
          </w:p>
          <w:p w14:paraId="53D99DB0" w14:textId="14172F5C" w:rsidR="000A5BF7" w:rsidRPr="008C24A5" w:rsidRDefault="000A5BF7" w:rsidP="00AF60FA">
            <w:pPr>
              <w:pStyle w:val="ListParagraph"/>
              <w:numPr>
                <w:ilvl w:val="0"/>
                <w:numId w:val="3"/>
              </w:numPr>
              <w:jc w:val="both"/>
              <w:rPr>
                <w:color w:val="BF4E14" w:themeColor="accent2" w:themeShade="BF"/>
                <w:lang w:val="et-EE"/>
              </w:rPr>
            </w:pPr>
            <w:r w:rsidRPr="008C24A5">
              <w:rPr>
                <w:b/>
                <w:bCs/>
                <w:color w:val="BF4E14" w:themeColor="accent2" w:themeShade="BF"/>
                <w:lang w:val="et-EE"/>
              </w:rPr>
              <w:t>Artiklit ei kohaldata</w:t>
            </w:r>
            <w:r w:rsidRPr="008C24A5">
              <w:rPr>
                <w:color w:val="BF4E14" w:themeColor="accent2" w:themeShade="BF"/>
                <w:lang w:val="et-EE"/>
              </w:rPr>
              <w:t xml:space="preserve"> sellisele taristule antava abi suhtes, mis on hõlmatud määruse (EL) 651/2014  III peatüki muude jagudega (v.a 1. jagu „Regionaalabi”). </w:t>
            </w:r>
          </w:p>
          <w:p w14:paraId="7732A5FF" w14:textId="77777777" w:rsidR="000A5BF7" w:rsidRPr="008C24A5" w:rsidRDefault="000A5BF7" w:rsidP="00AF60FA">
            <w:pPr>
              <w:pStyle w:val="ListParagraph"/>
              <w:jc w:val="both"/>
              <w:rPr>
                <w:color w:val="EE0000"/>
                <w:lang w:val="et-EE"/>
              </w:rPr>
            </w:pPr>
          </w:p>
          <w:p w14:paraId="301AB2B7" w14:textId="77777777" w:rsidR="000A5BF7" w:rsidRPr="008C24A5" w:rsidRDefault="000A5BF7" w:rsidP="00AF60FA">
            <w:pPr>
              <w:pStyle w:val="ListParagraph"/>
              <w:numPr>
                <w:ilvl w:val="0"/>
                <w:numId w:val="3"/>
              </w:numPr>
              <w:jc w:val="both"/>
              <w:rPr>
                <w:lang w:val="et-EE"/>
              </w:rPr>
            </w:pPr>
            <w:r w:rsidRPr="008C24A5">
              <w:rPr>
                <w:lang w:val="et-EE"/>
              </w:rPr>
              <w:t xml:space="preserve">Artiklit </w:t>
            </w:r>
            <w:r w:rsidRPr="008C24A5">
              <w:rPr>
                <w:b/>
                <w:bCs/>
                <w:lang w:val="et-EE"/>
              </w:rPr>
              <w:t>ei kohaldata</w:t>
            </w:r>
            <w:r w:rsidRPr="008C24A5">
              <w:rPr>
                <w:lang w:val="et-EE"/>
              </w:rPr>
              <w:t xml:space="preserve"> eriotstarbelise taristu suhtes.</w:t>
            </w:r>
          </w:p>
          <w:p w14:paraId="518671D8" w14:textId="4D29BC29" w:rsidR="000A5BF7" w:rsidRPr="008C24A5" w:rsidRDefault="000A5BF7" w:rsidP="00AF60FA">
            <w:pPr>
              <w:pStyle w:val="ListParagraph"/>
              <w:numPr>
                <w:ilvl w:val="0"/>
                <w:numId w:val="3"/>
              </w:numPr>
              <w:jc w:val="both"/>
              <w:rPr>
                <w:lang w:val="et-EE"/>
              </w:rPr>
            </w:pPr>
            <w:r w:rsidRPr="008C24A5">
              <w:rPr>
                <w:lang w:val="et-EE"/>
              </w:rPr>
              <w:t xml:space="preserve">(GBER art 2 </w:t>
            </w:r>
            <w:hyperlink r:id="rId14" w:anchor=":~:text=33)%C2%A0,%E2%80%9Eeriotstarbeline%20taristu%E2%80%9D" w:history="1">
              <w:r w:rsidRPr="008C24A5">
                <w:rPr>
                  <w:rStyle w:val="Hyperlink"/>
                  <w:lang w:val="et-EE"/>
                </w:rPr>
                <w:t>p 33</w:t>
              </w:r>
            </w:hyperlink>
            <w:r w:rsidRPr="008C24A5">
              <w:rPr>
                <w:lang w:val="et-EE"/>
              </w:rPr>
              <w:t>)„eriotstarbeline taristu” — taristu, mis on ehitanud eelnevalt kindlaksmääratud ettevõtja(te) jaoks ning mis on kohandatud nende vajadustele.</w:t>
            </w:r>
          </w:p>
          <w:p w14:paraId="0CE865AE" w14:textId="77777777" w:rsidR="000A5BF7" w:rsidRPr="008C24A5" w:rsidRDefault="000A5BF7" w:rsidP="00AF60FA">
            <w:pPr>
              <w:pStyle w:val="ListParagraph"/>
              <w:jc w:val="both"/>
              <w:rPr>
                <w:lang w:val="et-EE"/>
              </w:rPr>
            </w:pPr>
          </w:p>
          <w:p w14:paraId="57CAEE9E" w14:textId="77777777" w:rsidR="000A5BF7" w:rsidRPr="008C24A5" w:rsidRDefault="000A5BF7" w:rsidP="00AF60FA">
            <w:pPr>
              <w:pStyle w:val="ListParagraph"/>
              <w:numPr>
                <w:ilvl w:val="0"/>
                <w:numId w:val="3"/>
              </w:numPr>
              <w:jc w:val="both"/>
              <w:rPr>
                <w:lang w:val="et-EE"/>
              </w:rPr>
            </w:pPr>
            <w:r w:rsidRPr="008C24A5">
              <w:rPr>
                <w:lang w:val="et-EE"/>
              </w:rPr>
              <w:t xml:space="preserve">Huvitatud kasutajad peavad taristule juurde pääsema avatud, läbipaistval ja mittediskrimineerival alusel. </w:t>
            </w:r>
          </w:p>
          <w:p w14:paraId="02E9554F" w14:textId="51918C94" w:rsidR="000A5BF7" w:rsidRPr="008C24A5" w:rsidRDefault="000A5BF7" w:rsidP="00AF60FA">
            <w:pPr>
              <w:pStyle w:val="ListParagraph"/>
              <w:numPr>
                <w:ilvl w:val="0"/>
                <w:numId w:val="3"/>
              </w:numPr>
              <w:jc w:val="both"/>
              <w:rPr>
                <w:lang w:val="et-EE"/>
              </w:rPr>
            </w:pPr>
            <w:r w:rsidRPr="008C24A5">
              <w:rPr>
                <w:lang w:val="et-EE"/>
              </w:rPr>
              <w:t>Taristu kasutamise tasu või müügihind peab vastama turuhindadele.</w:t>
            </w:r>
          </w:p>
          <w:p w14:paraId="45BD538B" w14:textId="15AFE8A2" w:rsidR="000A5BF7" w:rsidRPr="008C24A5" w:rsidRDefault="000A5BF7" w:rsidP="00AF60FA">
            <w:pPr>
              <w:pStyle w:val="ListParagraph"/>
              <w:numPr>
                <w:ilvl w:val="0"/>
                <w:numId w:val="3"/>
              </w:numPr>
              <w:jc w:val="both"/>
              <w:rPr>
                <w:lang w:val="et-EE"/>
              </w:rPr>
            </w:pPr>
            <w:r w:rsidRPr="008C24A5">
              <w:rPr>
                <w:lang w:val="et-EE"/>
              </w:rPr>
              <w:t>Abikõlblikud on</w:t>
            </w:r>
            <w:r w:rsidRPr="008C24A5">
              <w:rPr>
                <w:b/>
                <w:bCs/>
                <w:lang w:val="et-EE"/>
              </w:rPr>
              <w:t xml:space="preserve"> </w:t>
            </w:r>
            <w:r w:rsidRPr="008C24A5">
              <w:rPr>
                <w:lang w:val="et-EE"/>
              </w:rPr>
              <w:t>investeeringud materiaalsesse ja immateriaalsesse varasse.</w:t>
            </w:r>
          </w:p>
          <w:p w14:paraId="2E9E1B35" w14:textId="77777777" w:rsidR="000A5BF7" w:rsidRPr="008C24A5" w:rsidRDefault="000A5BF7" w:rsidP="00AF60FA">
            <w:pPr>
              <w:pStyle w:val="ListParagraph"/>
              <w:numPr>
                <w:ilvl w:val="0"/>
                <w:numId w:val="3"/>
              </w:numPr>
              <w:jc w:val="both"/>
              <w:rPr>
                <w:lang w:val="et-EE"/>
              </w:rPr>
            </w:pPr>
            <w:r w:rsidRPr="008C24A5">
              <w:rPr>
                <w:lang w:val="et-EE"/>
              </w:rPr>
              <w:t xml:space="preserve">Abi summa ei tohi ületada abikõlblike kulude ja investeeringu tegevuskasumi vahet. </w:t>
            </w:r>
          </w:p>
          <w:p w14:paraId="757BDA7B" w14:textId="22E7D076" w:rsidR="000A5BF7" w:rsidRPr="008C24A5" w:rsidRDefault="000A5BF7" w:rsidP="00AF60FA">
            <w:pPr>
              <w:pStyle w:val="ListParagraph"/>
              <w:numPr>
                <w:ilvl w:val="0"/>
                <w:numId w:val="3"/>
              </w:numPr>
              <w:jc w:val="both"/>
              <w:rPr>
                <w:lang w:val="et-EE"/>
              </w:rPr>
            </w:pPr>
            <w:r w:rsidRPr="008C24A5">
              <w:rPr>
                <w:lang w:val="et-EE"/>
              </w:rPr>
              <w:lastRenderedPageBreak/>
              <w:t>Tegevuskasum tuleb abikõlblikest kuludest maha arvata eelnevalt asjakohaste prognooside alusel.</w:t>
            </w:r>
          </w:p>
          <w:p w14:paraId="440B36C9" w14:textId="77777777" w:rsidR="000A5BF7" w:rsidRPr="008C24A5" w:rsidRDefault="000A5BF7" w:rsidP="00AF60FA">
            <w:pPr>
              <w:jc w:val="both"/>
              <w:rPr>
                <w:lang w:val="et-EE"/>
              </w:rPr>
            </w:pPr>
          </w:p>
          <w:p w14:paraId="0BF878F5" w14:textId="30493CAF" w:rsidR="000A5BF7" w:rsidRPr="008C24A5" w:rsidRDefault="000A5BF7" w:rsidP="00AF60FA">
            <w:pPr>
              <w:pStyle w:val="ListParagraph"/>
              <w:numPr>
                <w:ilvl w:val="0"/>
                <w:numId w:val="3"/>
              </w:numPr>
              <w:jc w:val="both"/>
              <w:rPr>
                <w:lang w:val="et-EE"/>
              </w:rPr>
            </w:pPr>
            <w:r w:rsidRPr="008C24A5">
              <w:rPr>
                <w:lang w:val="et-EE"/>
              </w:rPr>
              <w:t xml:space="preserve">Abi osakaal määrusest „Perioodi 2023–2027 maapiirkonnas ettevõtluskeskkonna arendamise investeeringutoetus“ – </w:t>
            </w:r>
          </w:p>
          <w:p w14:paraId="04A9DC6C" w14:textId="77777777" w:rsidR="000A5BF7" w:rsidRPr="008C24A5" w:rsidRDefault="000A5BF7" w:rsidP="00AF60FA">
            <w:pPr>
              <w:pStyle w:val="ListParagraph"/>
              <w:jc w:val="both"/>
              <w:rPr>
                <w:lang w:val="et-EE"/>
              </w:rPr>
            </w:pPr>
          </w:p>
          <w:p w14:paraId="2E9FA32E" w14:textId="7A2B17C2" w:rsidR="000A5BF7" w:rsidRPr="008C24A5" w:rsidRDefault="000A5BF7" w:rsidP="00AF60FA">
            <w:pPr>
              <w:pStyle w:val="ListParagraph"/>
              <w:numPr>
                <w:ilvl w:val="0"/>
                <w:numId w:val="4"/>
              </w:numPr>
              <w:jc w:val="both"/>
              <w:rPr>
                <w:lang w:val="et-EE"/>
              </w:rPr>
            </w:pPr>
            <w:r w:rsidRPr="008C24A5">
              <w:rPr>
                <w:lang w:val="et-EE"/>
              </w:rPr>
              <w:t xml:space="preserve">Kohaliku </w:t>
            </w:r>
            <w:r w:rsidRPr="008C24A5">
              <w:rPr>
                <w:b/>
                <w:bCs/>
                <w:lang w:val="et-EE"/>
              </w:rPr>
              <w:t>ettevõtlustaristu</w:t>
            </w:r>
            <w:r w:rsidRPr="008C24A5">
              <w:rPr>
                <w:lang w:val="et-EE"/>
              </w:rPr>
              <w:t xml:space="preserve"> toetuse maksimaalne määr on </w:t>
            </w:r>
            <w:r w:rsidRPr="008C24A5">
              <w:rPr>
                <w:b/>
                <w:bCs/>
                <w:lang w:val="et-EE"/>
              </w:rPr>
              <w:t xml:space="preserve">50 </w:t>
            </w:r>
            <w:r w:rsidR="00AF60FA" w:rsidRPr="00AF60FA">
              <w:rPr>
                <w:b/>
                <w:bCs/>
                <w:lang w:val="et-EE"/>
              </w:rPr>
              <w:t>%</w:t>
            </w:r>
            <w:r w:rsidRPr="008C24A5">
              <w:rPr>
                <w:b/>
                <w:bCs/>
                <w:lang w:val="et-EE"/>
              </w:rPr>
              <w:t xml:space="preserve"> </w:t>
            </w:r>
            <w:r w:rsidRPr="008C24A5">
              <w:rPr>
                <w:lang w:val="et-EE"/>
              </w:rPr>
              <w:t>abikõlblikest kuludest</w:t>
            </w:r>
            <w:r w:rsidRPr="008C24A5">
              <w:rPr>
                <w:b/>
                <w:bCs/>
                <w:lang w:val="et-EE"/>
              </w:rPr>
              <w:t>;</w:t>
            </w:r>
            <w:r w:rsidRPr="008C24A5">
              <w:rPr>
                <w:lang w:val="et-EE"/>
              </w:rPr>
              <w:t> </w:t>
            </w:r>
          </w:p>
          <w:p w14:paraId="63A87D3B" w14:textId="2C869323" w:rsidR="000A5BF7" w:rsidRPr="008C24A5" w:rsidRDefault="000A5BF7" w:rsidP="00AF60FA">
            <w:pPr>
              <w:pStyle w:val="ListParagraph"/>
              <w:numPr>
                <w:ilvl w:val="0"/>
                <w:numId w:val="4"/>
              </w:numPr>
              <w:jc w:val="both"/>
              <w:rPr>
                <w:lang w:val="et-EE"/>
              </w:rPr>
            </w:pPr>
            <w:r w:rsidRPr="008C24A5">
              <w:rPr>
                <w:b/>
                <w:bCs/>
                <w:lang w:val="et-EE"/>
              </w:rPr>
              <w:t>Ettevõtlushuubi</w:t>
            </w:r>
            <w:r w:rsidRPr="008C24A5">
              <w:rPr>
                <w:lang w:val="et-EE"/>
              </w:rPr>
              <w:t xml:space="preserve"> toetus kuni </w:t>
            </w:r>
            <w:r w:rsidRPr="008C24A5">
              <w:rPr>
                <w:b/>
                <w:bCs/>
                <w:lang w:val="et-EE"/>
              </w:rPr>
              <w:t>65 </w:t>
            </w:r>
            <w:r w:rsidR="00AF60FA" w:rsidRPr="00AF60FA">
              <w:rPr>
                <w:b/>
                <w:bCs/>
                <w:lang w:val="et-EE"/>
              </w:rPr>
              <w:t>%</w:t>
            </w:r>
            <w:r w:rsidRPr="008C24A5">
              <w:rPr>
                <w:lang w:val="et-EE"/>
              </w:rPr>
              <w:t> abikõlblikest kuludest;</w:t>
            </w:r>
          </w:p>
          <w:p w14:paraId="1C107184" w14:textId="77777777" w:rsidR="000A5BF7" w:rsidRPr="008C24A5" w:rsidRDefault="000A5BF7" w:rsidP="00AF60FA">
            <w:pPr>
              <w:jc w:val="both"/>
              <w:rPr>
                <w:lang w:val="et-EE"/>
              </w:rPr>
            </w:pPr>
          </w:p>
          <w:p w14:paraId="2B96FDE8" w14:textId="77777777" w:rsidR="000A5BF7" w:rsidRPr="008C24A5" w:rsidRDefault="000A5BF7" w:rsidP="00AF60FA">
            <w:pPr>
              <w:jc w:val="both"/>
              <w:rPr>
                <w:lang w:val="et-EE"/>
              </w:rPr>
            </w:pPr>
          </w:p>
          <w:p w14:paraId="46ED5564" w14:textId="77777777" w:rsidR="000A5BF7" w:rsidRPr="008C24A5" w:rsidRDefault="000A5BF7" w:rsidP="00AF60FA">
            <w:pPr>
              <w:jc w:val="both"/>
              <w:rPr>
                <w:lang w:val="et-EE"/>
              </w:rPr>
            </w:pPr>
            <w:r w:rsidRPr="008C24A5">
              <w:rPr>
                <w:color w:val="BF4E14" w:themeColor="accent2" w:themeShade="BF"/>
                <w:lang w:val="et-EE"/>
              </w:rPr>
              <w:t xml:space="preserve">NB! Teisi </w:t>
            </w:r>
            <w:hyperlink r:id="rId15" w:anchor=":~:text=taristule%20antav%20abi-,Artikkel%2056,-Kohalikule%20taristule%20antav" w:history="1">
              <w:r w:rsidRPr="008C24A5">
                <w:rPr>
                  <w:rStyle w:val="Hyperlink"/>
                  <w:lang w:val="et-EE"/>
                </w:rPr>
                <w:t>artiklis 56</w:t>
              </w:r>
            </w:hyperlink>
            <w:r w:rsidRPr="008C24A5">
              <w:rPr>
                <w:lang w:val="et-EE"/>
              </w:rPr>
              <w:t xml:space="preserve"> </w:t>
            </w:r>
            <w:r w:rsidRPr="008C24A5">
              <w:rPr>
                <w:color w:val="BF4E14" w:themeColor="accent2" w:themeShade="BF"/>
                <w:lang w:val="et-EE"/>
              </w:rPr>
              <w:t xml:space="preserve">ja üldsätetes sisalduvaid nõudeid vaata GBER-ist ning lisaks vaata ka </w:t>
            </w:r>
            <w:hyperlink r:id="rId16" w:history="1">
              <w:r w:rsidRPr="008C24A5">
                <w:rPr>
                  <w:rStyle w:val="Hyperlink"/>
                  <w:b/>
                  <w:bCs/>
                  <w:lang w:val="et-EE"/>
                </w:rPr>
                <w:t>meetme määrust</w:t>
              </w:r>
            </w:hyperlink>
          </w:p>
          <w:p w14:paraId="70E2DBC1" w14:textId="40EA39B3" w:rsidR="000A5BF7" w:rsidRPr="008C24A5" w:rsidRDefault="000A5BF7" w:rsidP="00AF60FA">
            <w:pPr>
              <w:jc w:val="both"/>
              <w:rPr>
                <w:lang w:val="et-EE"/>
              </w:rPr>
            </w:pPr>
          </w:p>
        </w:tc>
      </w:tr>
      <w:tr w:rsidR="000A5BF7" w:rsidRPr="008C24A5" w14:paraId="1AFDD03E" w14:textId="77777777" w:rsidTr="000A5BF7">
        <w:tc>
          <w:tcPr>
            <w:tcW w:w="3139" w:type="dxa"/>
          </w:tcPr>
          <w:p w14:paraId="2D75A6C7" w14:textId="77777777" w:rsidR="000A5BF7" w:rsidRPr="008C24A5" w:rsidRDefault="000A5BF7" w:rsidP="00AF60FA">
            <w:pPr>
              <w:jc w:val="both"/>
              <w:rPr>
                <w:lang w:val="et-EE"/>
              </w:rPr>
            </w:pPr>
          </w:p>
        </w:tc>
        <w:tc>
          <w:tcPr>
            <w:tcW w:w="10323" w:type="dxa"/>
          </w:tcPr>
          <w:p w14:paraId="158BF590" w14:textId="77777777" w:rsidR="000A5BF7" w:rsidRPr="008C24A5" w:rsidRDefault="000A5BF7" w:rsidP="00AF60FA">
            <w:pPr>
              <w:jc w:val="both"/>
              <w:rPr>
                <w:lang w:val="et-EE"/>
              </w:rPr>
            </w:pPr>
          </w:p>
        </w:tc>
      </w:tr>
      <w:tr w:rsidR="000A5BF7" w:rsidRPr="008C24A5" w14:paraId="3ABAFD7E" w14:textId="77777777" w:rsidTr="000A5BF7">
        <w:tc>
          <w:tcPr>
            <w:tcW w:w="3139" w:type="dxa"/>
          </w:tcPr>
          <w:p w14:paraId="22163D4F" w14:textId="7BCB1B5B" w:rsidR="000A5BF7" w:rsidRPr="008C24A5" w:rsidRDefault="000A5BF7" w:rsidP="00AF60FA">
            <w:pPr>
              <w:jc w:val="both"/>
              <w:rPr>
                <w:b/>
                <w:bCs/>
                <w:lang w:val="et-EE"/>
              </w:rPr>
            </w:pPr>
          </w:p>
        </w:tc>
        <w:tc>
          <w:tcPr>
            <w:tcW w:w="10323" w:type="dxa"/>
          </w:tcPr>
          <w:p w14:paraId="4A3ABA85" w14:textId="39E57F00" w:rsidR="000A5BF7" w:rsidRPr="008C24A5" w:rsidRDefault="000A5BF7" w:rsidP="00AF60FA">
            <w:pPr>
              <w:pStyle w:val="ListParagraph"/>
              <w:ind w:left="0"/>
              <w:jc w:val="both"/>
              <w:rPr>
                <w:lang w:val="et-EE"/>
              </w:rPr>
            </w:pPr>
            <w:hyperlink r:id="rId17" w:anchor=":~:text=%E2%96%BAB-,KOMISJONI%20M%C3%84%C3%84RUS%20(EL)%202022/2472,-%2C" w:history="1">
              <w:r w:rsidRPr="008C24A5">
                <w:rPr>
                  <w:rStyle w:val="Hyperlink"/>
                  <w:b/>
                  <w:bCs/>
                  <w:lang w:val="et-EE"/>
                </w:rPr>
                <w:t>(EL) nr 2022/2472</w:t>
              </w:r>
            </w:hyperlink>
            <w:r w:rsidRPr="008C24A5">
              <w:rPr>
                <w:b/>
                <w:bCs/>
                <w:lang w:val="et-EE"/>
              </w:rPr>
              <w:t xml:space="preserve"> (ABER)</w:t>
            </w:r>
          </w:p>
        </w:tc>
      </w:tr>
      <w:tr w:rsidR="000A5BF7" w:rsidRPr="008C24A5" w14:paraId="0B7E0C0C" w14:textId="77777777" w:rsidTr="000A5BF7">
        <w:tc>
          <w:tcPr>
            <w:tcW w:w="3139" w:type="dxa"/>
          </w:tcPr>
          <w:p w14:paraId="0B9AFCC9" w14:textId="77777777" w:rsidR="000A5BF7" w:rsidRPr="008C24A5" w:rsidRDefault="000A5BF7" w:rsidP="00AF60FA">
            <w:pPr>
              <w:jc w:val="both"/>
              <w:rPr>
                <w:lang w:val="et-EE"/>
              </w:rPr>
            </w:pPr>
          </w:p>
        </w:tc>
        <w:tc>
          <w:tcPr>
            <w:tcW w:w="10323" w:type="dxa"/>
          </w:tcPr>
          <w:p w14:paraId="53E063AA" w14:textId="77777777" w:rsidR="000A5BF7" w:rsidRPr="008C24A5" w:rsidRDefault="000A5BF7" w:rsidP="00AF60FA">
            <w:pPr>
              <w:jc w:val="both"/>
              <w:rPr>
                <w:lang w:val="et-EE"/>
              </w:rPr>
            </w:pPr>
          </w:p>
        </w:tc>
      </w:tr>
      <w:tr w:rsidR="000A5BF7" w:rsidRPr="008C24A5" w14:paraId="2C5B9C4C" w14:textId="77777777" w:rsidTr="000A5BF7">
        <w:tc>
          <w:tcPr>
            <w:tcW w:w="3139" w:type="dxa"/>
          </w:tcPr>
          <w:p w14:paraId="1FD22823" w14:textId="23AFACF6" w:rsidR="000A5BF7" w:rsidRPr="008C24A5" w:rsidRDefault="000A5BF7" w:rsidP="00AF60FA">
            <w:pPr>
              <w:jc w:val="both"/>
              <w:rPr>
                <w:b/>
                <w:bCs/>
                <w:lang w:val="et-EE"/>
              </w:rPr>
            </w:pPr>
            <w:r w:rsidRPr="008C24A5">
              <w:rPr>
                <w:b/>
                <w:bCs/>
                <w:lang w:val="et-EE"/>
              </w:rPr>
              <w:t xml:space="preserve">Art 55 – ainult maapiirkonna </w:t>
            </w:r>
          </w:p>
        </w:tc>
        <w:tc>
          <w:tcPr>
            <w:tcW w:w="10323" w:type="dxa"/>
          </w:tcPr>
          <w:p w14:paraId="407B2C8D" w14:textId="4FE951BD" w:rsidR="000A5BF7" w:rsidRPr="008C24A5" w:rsidRDefault="000A5BF7" w:rsidP="00AF60FA">
            <w:pPr>
              <w:jc w:val="both"/>
              <w:rPr>
                <w:b/>
                <w:bCs/>
                <w:lang w:val="et-EE"/>
              </w:rPr>
            </w:pPr>
            <w:r w:rsidRPr="008C24A5">
              <w:rPr>
                <w:b/>
                <w:bCs/>
                <w:lang w:val="et-EE"/>
              </w:rPr>
              <w:t xml:space="preserve">Abi põhiteenuste ja taristu jaoks maapiirkondades, ainult </w:t>
            </w:r>
            <w:r w:rsidRPr="008C24A5">
              <w:rPr>
                <w:b/>
                <w:bCs/>
                <w:color w:val="0F9ED5" w:themeColor="accent4"/>
                <w:lang w:val="et-EE"/>
              </w:rPr>
              <w:t xml:space="preserve">VKE-d </w:t>
            </w:r>
          </w:p>
          <w:p w14:paraId="63069313" w14:textId="77777777" w:rsidR="000A5BF7" w:rsidRPr="008C24A5" w:rsidRDefault="000A5BF7" w:rsidP="00AF60FA">
            <w:pPr>
              <w:jc w:val="both"/>
              <w:rPr>
                <w:b/>
                <w:bCs/>
                <w:lang w:val="et-EE"/>
              </w:rPr>
            </w:pPr>
          </w:p>
          <w:p w14:paraId="651971C5" w14:textId="77777777" w:rsidR="000A5BF7" w:rsidRPr="008C24A5" w:rsidRDefault="000A5BF7" w:rsidP="00AF60FA">
            <w:pPr>
              <w:jc w:val="both"/>
              <w:rPr>
                <w:lang w:val="et-EE"/>
              </w:rPr>
            </w:pPr>
            <w:r w:rsidRPr="008C24A5">
              <w:rPr>
                <w:lang w:val="et-EE"/>
              </w:rPr>
              <w:t>Abi hõlmab järgmist:</w:t>
            </w:r>
          </w:p>
          <w:p w14:paraId="1C2E9266" w14:textId="77777777" w:rsidR="000A5BF7" w:rsidRPr="008C24A5" w:rsidRDefault="000A5BF7" w:rsidP="00AF60FA">
            <w:pPr>
              <w:pStyle w:val="ListParagraph"/>
              <w:numPr>
                <w:ilvl w:val="0"/>
                <w:numId w:val="7"/>
              </w:numPr>
              <w:jc w:val="both"/>
              <w:rPr>
                <w:lang w:val="et-EE"/>
              </w:rPr>
            </w:pPr>
            <w:r w:rsidRPr="008C24A5">
              <w:rPr>
                <w:b/>
                <w:bCs/>
                <w:lang w:val="et-EE"/>
              </w:rPr>
              <w:t>investeeringud mis tahes liiki taristu loomisse, parendamisse või laiendamisse</w:t>
            </w:r>
            <w:r w:rsidRPr="008C24A5">
              <w:rPr>
                <w:lang w:val="et-EE"/>
              </w:rPr>
              <w:t>, mille rahastamiskõlblikud kulud on piiratud 2 miljoni euroga (väiketaristu)</w:t>
            </w:r>
          </w:p>
          <w:p w14:paraId="7353CAC4" w14:textId="77777777" w:rsidR="000A5BF7" w:rsidRPr="008C24A5" w:rsidRDefault="000A5BF7" w:rsidP="00AF60FA">
            <w:pPr>
              <w:jc w:val="both"/>
              <w:rPr>
                <w:lang w:val="et-EE"/>
              </w:rPr>
            </w:pPr>
          </w:p>
          <w:p w14:paraId="0FAE9470" w14:textId="0D4B52FF" w:rsidR="000A5BF7" w:rsidRPr="008C24A5" w:rsidRDefault="000A5BF7" w:rsidP="00AF60FA">
            <w:pPr>
              <w:jc w:val="both"/>
              <w:rPr>
                <w:lang w:val="et-EE"/>
              </w:rPr>
            </w:pPr>
            <w:r w:rsidRPr="008C24A5">
              <w:rPr>
                <w:lang w:val="et-EE"/>
              </w:rPr>
              <w:t>„</w:t>
            </w:r>
            <w:hyperlink r:id="rId18" w:anchor=":~:text=(53),%E2%80%9Ev%C3%A4iketaristu%E2%80%9C" w:history="1">
              <w:r w:rsidRPr="008C24A5">
                <w:rPr>
                  <w:rStyle w:val="Hyperlink"/>
                  <w:lang w:val="et-EE"/>
                </w:rPr>
                <w:t>väiketaristu</w:t>
              </w:r>
            </w:hyperlink>
            <w:r w:rsidRPr="008C24A5">
              <w:rPr>
                <w:lang w:val="et-EE"/>
              </w:rPr>
              <w:t>“ – taristu, mille rahastamiskõlblikud kulud on kuni 2 miljonit eurot;</w:t>
            </w:r>
          </w:p>
          <w:p w14:paraId="7D0AF30B" w14:textId="77777777" w:rsidR="000A5BF7" w:rsidRPr="008C24A5" w:rsidRDefault="000A5BF7" w:rsidP="00AF60FA">
            <w:pPr>
              <w:jc w:val="both"/>
              <w:rPr>
                <w:lang w:val="et-EE"/>
              </w:rPr>
            </w:pPr>
          </w:p>
          <w:p w14:paraId="4AC8AD56" w14:textId="77777777" w:rsidR="000A5BF7" w:rsidRPr="008C24A5" w:rsidRDefault="000A5BF7" w:rsidP="00AF60FA">
            <w:pPr>
              <w:jc w:val="both"/>
              <w:rPr>
                <w:lang w:val="et-EE"/>
              </w:rPr>
            </w:pPr>
          </w:p>
          <w:p w14:paraId="41B301E3" w14:textId="77777777" w:rsidR="000A5BF7" w:rsidRPr="008C24A5" w:rsidRDefault="000A5BF7" w:rsidP="00AF60FA">
            <w:pPr>
              <w:pStyle w:val="ListParagraph"/>
              <w:numPr>
                <w:ilvl w:val="0"/>
                <w:numId w:val="7"/>
              </w:numPr>
              <w:jc w:val="both"/>
              <w:rPr>
                <w:lang w:val="et-EE"/>
              </w:rPr>
            </w:pPr>
            <w:r w:rsidRPr="008C24A5">
              <w:rPr>
                <w:lang w:val="et-EE"/>
              </w:rPr>
              <w:t xml:space="preserve">investeeringud taastuvenergiasse ja energiasäästu ning lairibataristusse </w:t>
            </w:r>
            <w:r w:rsidRPr="008C24A5">
              <w:rPr>
                <w:b/>
                <w:bCs/>
                <w:lang w:val="et-EE"/>
              </w:rPr>
              <w:t>ei ole abikõlblikud</w:t>
            </w:r>
            <w:r w:rsidRPr="008C24A5">
              <w:rPr>
                <w:lang w:val="et-EE"/>
              </w:rPr>
              <w:t>;</w:t>
            </w:r>
          </w:p>
          <w:p w14:paraId="3158193F" w14:textId="77777777" w:rsidR="000A5BF7" w:rsidRPr="008C24A5" w:rsidRDefault="000A5BF7" w:rsidP="00AF60FA">
            <w:pPr>
              <w:pStyle w:val="ListParagraph"/>
              <w:jc w:val="both"/>
              <w:rPr>
                <w:lang w:val="et-EE"/>
              </w:rPr>
            </w:pPr>
          </w:p>
          <w:p w14:paraId="052932DB" w14:textId="235DB2E4" w:rsidR="000A5BF7" w:rsidRDefault="000A5BF7" w:rsidP="00AF60FA">
            <w:pPr>
              <w:pStyle w:val="ListParagraph"/>
              <w:numPr>
                <w:ilvl w:val="0"/>
                <w:numId w:val="7"/>
              </w:numPr>
              <w:jc w:val="both"/>
              <w:rPr>
                <w:lang w:val="et-EE"/>
              </w:rPr>
            </w:pPr>
            <w:r w:rsidRPr="008C24A5">
              <w:rPr>
                <w:lang w:val="et-EE"/>
              </w:rPr>
              <w:t xml:space="preserve">investeeringud maaelanikkonnale suunatud </w:t>
            </w:r>
            <w:r w:rsidRPr="008C24A5">
              <w:rPr>
                <w:b/>
                <w:bCs/>
                <w:lang w:val="et-EE"/>
              </w:rPr>
              <w:t>kohalike põhiteenuste</w:t>
            </w:r>
            <w:r w:rsidRPr="008C24A5">
              <w:rPr>
                <w:lang w:val="et-EE"/>
              </w:rPr>
              <w:t>, sealhulgas sotsiaalteenuste ning vaba aja veetmise ja kultuuriteenuste loomisse, parendamisse või laiendamisse ning nende teenustega seotud taristusse;</w:t>
            </w:r>
          </w:p>
          <w:p w14:paraId="7F2CE724" w14:textId="77777777" w:rsidR="00AF60FA" w:rsidRPr="00AF60FA" w:rsidRDefault="00AF60FA" w:rsidP="00AF60FA">
            <w:pPr>
              <w:pStyle w:val="ListParagraph"/>
              <w:jc w:val="both"/>
              <w:rPr>
                <w:lang w:val="et-EE"/>
              </w:rPr>
            </w:pPr>
          </w:p>
          <w:p w14:paraId="23A800A1" w14:textId="77777777" w:rsidR="00AF60FA" w:rsidRPr="008C24A5" w:rsidRDefault="00AF60FA" w:rsidP="00AF60FA">
            <w:pPr>
              <w:pStyle w:val="ListParagraph"/>
              <w:jc w:val="both"/>
              <w:rPr>
                <w:lang w:val="et-EE"/>
              </w:rPr>
            </w:pPr>
          </w:p>
          <w:p w14:paraId="1BBD25FB" w14:textId="77777777" w:rsidR="000A5BF7" w:rsidRDefault="000A5BF7" w:rsidP="00AF60FA">
            <w:pPr>
              <w:pStyle w:val="ListParagraph"/>
              <w:jc w:val="both"/>
              <w:rPr>
                <w:lang w:val="et-EE"/>
              </w:rPr>
            </w:pPr>
          </w:p>
          <w:p w14:paraId="193C6CE3" w14:textId="77777777" w:rsidR="00AF60FA" w:rsidRDefault="00AF60FA" w:rsidP="00AF60FA">
            <w:pPr>
              <w:pStyle w:val="ListParagraph"/>
              <w:jc w:val="both"/>
              <w:rPr>
                <w:lang w:val="et-EE"/>
              </w:rPr>
            </w:pPr>
          </w:p>
          <w:p w14:paraId="6CADDD22" w14:textId="77777777" w:rsidR="00AF60FA" w:rsidRDefault="00AF60FA" w:rsidP="00AF60FA">
            <w:pPr>
              <w:pStyle w:val="ListParagraph"/>
              <w:jc w:val="both"/>
              <w:rPr>
                <w:lang w:val="et-EE"/>
              </w:rPr>
            </w:pPr>
          </w:p>
          <w:p w14:paraId="2F0B0EB8" w14:textId="77777777" w:rsidR="00AF60FA" w:rsidRPr="008C24A5" w:rsidRDefault="00AF60FA" w:rsidP="00AF60FA">
            <w:pPr>
              <w:pStyle w:val="ListParagraph"/>
              <w:jc w:val="both"/>
              <w:rPr>
                <w:lang w:val="et-EE"/>
              </w:rPr>
            </w:pPr>
          </w:p>
          <w:p w14:paraId="094EBC32" w14:textId="3D620079" w:rsidR="000A5BF7" w:rsidRPr="008C24A5" w:rsidRDefault="000A5BF7" w:rsidP="00AF60FA">
            <w:pPr>
              <w:jc w:val="both"/>
              <w:rPr>
                <w:lang w:val="et-EE"/>
              </w:rPr>
            </w:pPr>
            <w:r w:rsidRPr="008C24A5">
              <w:rPr>
                <w:lang w:val="et-EE"/>
              </w:rPr>
              <w:lastRenderedPageBreak/>
              <w:t>Punkt 4</w:t>
            </w:r>
          </w:p>
          <w:p w14:paraId="1890ACCA" w14:textId="3956C1A6" w:rsidR="000A5BF7" w:rsidRPr="008C24A5" w:rsidRDefault="000A5BF7" w:rsidP="00AF60FA">
            <w:pPr>
              <w:pStyle w:val="ListParagraph"/>
              <w:numPr>
                <w:ilvl w:val="0"/>
                <w:numId w:val="7"/>
              </w:numPr>
              <w:jc w:val="both"/>
              <w:rPr>
                <w:lang w:val="et-EE"/>
              </w:rPr>
            </w:pPr>
            <w:r w:rsidRPr="008C24A5">
              <w:rPr>
                <w:lang w:val="et-EE"/>
              </w:rPr>
              <w:t xml:space="preserve">Lõikes 3 osutatud investeeringutega hõlmatud tegevust viiakse ellu vastavalt maapiirkondade omavalitsusüksuste ja külade ning nende põhiteenuste arendamise kavadele, kui sellised kavad on olemas, ning see peab olema kooskõlas asjakohase kohaliku arengu strateegiaga. </w:t>
            </w:r>
          </w:p>
          <w:p w14:paraId="4C0710E1" w14:textId="77777777" w:rsidR="000A5BF7" w:rsidRPr="008C24A5" w:rsidRDefault="000A5BF7" w:rsidP="00AF60FA">
            <w:pPr>
              <w:pStyle w:val="ListParagraph"/>
              <w:jc w:val="both"/>
              <w:rPr>
                <w:lang w:val="et-EE"/>
              </w:rPr>
            </w:pPr>
          </w:p>
          <w:p w14:paraId="79A145D2" w14:textId="77777777" w:rsidR="000A5BF7" w:rsidRPr="008C24A5" w:rsidRDefault="000A5BF7" w:rsidP="00AF60FA">
            <w:pPr>
              <w:jc w:val="both"/>
              <w:rPr>
                <w:lang w:val="et-EE"/>
              </w:rPr>
            </w:pPr>
            <w:r w:rsidRPr="008C24A5">
              <w:rPr>
                <w:lang w:val="et-EE"/>
              </w:rPr>
              <w:t>Punkt 5</w:t>
            </w:r>
          </w:p>
          <w:p w14:paraId="7D2B6A87" w14:textId="2F4EB5CD" w:rsidR="000A5BF7" w:rsidRPr="008C24A5" w:rsidRDefault="000A5BF7" w:rsidP="00AF60FA">
            <w:pPr>
              <w:jc w:val="both"/>
              <w:rPr>
                <w:lang w:val="et-EE"/>
              </w:rPr>
            </w:pPr>
            <w:r w:rsidRPr="008C24A5">
              <w:rPr>
                <w:lang w:val="et-EE"/>
              </w:rPr>
              <w:t xml:space="preserve">Abi hõlmab järgmisi rahastamiskõlblikke kulusid: </w:t>
            </w:r>
          </w:p>
          <w:p w14:paraId="014181D3" w14:textId="4266CF4C" w:rsidR="000A5BF7" w:rsidRPr="008C24A5" w:rsidRDefault="000A5BF7" w:rsidP="00AF60FA">
            <w:pPr>
              <w:pStyle w:val="ListParagraph"/>
              <w:numPr>
                <w:ilvl w:val="0"/>
                <w:numId w:val="7"/>
              </w:numPr>
              <w:jc w:val="both"/>
              <w:rPr>
                <w:lang w:val="et-EE"/>
              </w:rPr>
            </w:pPr>
            <w:r w:rsidRPr="008C24A5">
              <w:rPr>
                <w:lang w:val="et-EE"/>
              </w:rPr>
              <w:t>materiaalsesse ja immateriaalsesse varasse investeerimise kulud;</w:t>
            </w:r>
          </w:p>
          <w:p w14:paraId="1F2E9285" w14:textId="77777777" w:rsidR="000A5BF7" w:rsidRPr="008C24A5" w:rsidRDefault="000A5BF7" w:rsidP="00AF60FA">
            <w:pPr>
              <w:pStyle w:val="ListParagraph"/>
              <w:jc w:val="both"/>
              <w:rPr>
                <w:lang w:val="et-EE"/>
              </w:rPr>
            </w:pPr>
          </w:p>
          <w:p w14:paraId="33BA7A6D" w14:textId="39A66557" w:rsidR="000A5BF7" w:rsidRPr="008C24A5" w:rsidRDefault="000A5BF7" w:rsidP="00AF60FA">
            <w:pPr>
              <w:pStyle w:val="ListParagraph"/>
              <w:jc w:val="both"/>
              <w:rPr>
                <w:lang w:val="et-EE"/>
              </w:rPr>
            </w:pPr>
            <w:r w:rsidRPr="008C24A5">
              <w:rPr>
                <w:lang w:val="et-EE"/>
              </w:rPr>
              <w:t>Toetusmäär:</w:t>
            </w:r>
          </w:p>
          <w:p w14:paraId="292A00C4" w14:textId="77777777" w:rsidR="000A5BF7" w:rsidRPr="008C24A5" w:rsidRDefault="000A5BF7" w:rsidP="00AF60FA">
            <w:pPr>
              <w:pStyle w:val="ListParagraph"/>
              <w:jc w:val="both"/>
              <w:rPr>
                <w:lang w:val="et-EE"/>
              </w:rPr>
            </w:pPr>
          </w:p>
          <w:p w14:paraId="5BA6A270" w14:textId="1C8E718E" w:rsidR="000A5BF7" w:rsidRPr="008C24A5" w:rsidRDefault="000A5BF7" w:rsidP="00AF60FA">
            <w:pPr>
              <w:pStyle w:val="ListParagraph"/>
              <w:numPr>
                <w:ilvl w:val="0"/>
                <w:numId w:val="7"/>
              </w:numPr>
              <w:jc w:val="both"/>
              <w:rPr>
                <w:lang w:val="et-EE"/>
              </w:rPr>
            </w:pPr>
            <w:r w:rsidRPr="008C24A5">
              <w:rPr>
                <w:lang w:val="et-EE"/>
              </w:rPr>
              <w:t xml:space="preserve">(5) Kohaliku ettevõtlustaristu toetuse maksimaalne määr on </w:t>
            </w:r>
            <w:r w:rsidRPr="008C24A5">
              <w:rPr>
                <w:b/>
                <w:bCs/>
                <w:lang w:val="et-EE"/>
              </w:rPr>
              <w:t xml:space="preserve">50 </w:t>
            </w:r>
            <w:r w:rsidR="00AF60FA" w:rsidRPr="00AF60FA">
              <w:rPr>
                <w:b/>
                <w:bCs/>
                <w:lang w:val="et-EE"/>
              </w:rPr>
              <w:t>%</w:t>
            </w:r>
            <w:r w:rsidRPr="008C24A5">
              <w:rPr>
                <w:lang w:val="et-EE"/>
              </w:rPr>
              <w:t xml:space="preserve"> toetatava tegevuse abikõlblikest kuludest.</w:t>
            </w:r>
          </w:p>
          <w:p w14:paraId="22B2915C" w14:textId="78DCFB06" w:rsidR="000A5BF7" w:rsidRPr="008C24A5" w:rsidRDefault="000A5BF7" w:rsidP="00AF60FA">
            <w:pPr>
              <w:pStyle w:val="ListParagraph"/>
              <w:numPr>
                <w:ilvl w:val="0"/>
                <w:numId w:val="7"/>
              </w:numPr>
              <w:jc w:val="both"/>
              <w:rPr>
                <w:lang w:val="et-EE"/>
              </w:rPr>
            </w:pPr>
            <w:r w:rsidRPr="008C24A5">
              <w:rPr>
                <w:lang w:val="et-EE"/>
              </w:rPr>
              <w:t xml:space="preserve">Ettevõtlushuubi toetuse maksimaalne määr on kuni </w:t>
            </w:r>
            <w:r w:rsidRPr="008C24A5">
              <w:rPr>
                <w:b/>
                <w:bCs/>
                <w:lang w:val="et-EE"/>
              </w:rPr>
              <w:t>65 </w:t>
            </w:r>
            <w:r w:rsidR="00AF60FA" w:rsidRPr="00AF60FA">
              <w:rPr>
                <w:b/>
                <w:bCs/>
                <w:lang w:val="et-EE"/>
              </w:rPr>
              <w:t>%</w:t>
            </w:r>
            <w:r w:rsidRPr="008C24A5">
              <w:rPr>
                <w:lang w:val="et-EE"/>
              </w:rPr>
              <w:t xml:space="preserve"> toetatava tegevuse abikõlblikest kuludest;</w:t>
            </w:r>
          </w:p>
          <w:p w14:paraId="2B8BCB9D" w14:textId="77777777" w:rsidR="000A5BF7" w:rsidRPr="008C24A5" w:rsidRDefault="000A5BF7" w:rsidP="00AF60FA">
            <w:pPr>
              <w:jc w:val="both"/>
              <w:rPr>
                <w:color w:val="EE0000"/>
                <w:lang w:val="et-EE"/>
              </w:rPr>
            </w:pPr>
          </w:p>
          <w:p w14:paraId="6A6CBDDD" w14:textId="5A9762AF" w:rsidR="000A5BF7" w:rsidRPr="008C24A5" w:rsidRDefault="000A5BF7" w:rsidP="00AF60FA">
            <w:pPr>
              <w:jc w:val="both"/>
              <w:rPr>
                <w:color w:val="EE0000"/>
                <w:lang w:val="et-EE"/>
              </w:rPr>
            </w:pPr>
            <w:r w:rsidRPr="008C24A5">
              <w:rPr>
                <w:color w:val="BF4E14" w:themeColor="accent2" w:themeShade="BF"/>
                <w:lang w:val="et-EE"/>
              </w:rPr>
              <w:t xml:space="preserve">NB! Teisi </w:t>
            </w:r>
            <w:hyperlink r:id="rId19" w:anchor=":~:text=maapiirkondade%20VKEde%20toetamiseks-,Artikkel%C2%A055,-Abi%20p%C3%B5hiteenuste%20ja" w:history="1">
              <w:r w:rsidRPr="008C24A5">
                <w:rPr>
                  <w:rStyle w:val="Hyperlink"/>
                  <w:lang w:val="et-EE"/>
                </w:rPr>
                <w:t>artiklis 55</w:t>
              </w:r>
            </w:hyperlink>
            <w:r w:rsidRPr="008C24A5">
              <w:rPr>
                <w:lang w:val="et-EE"/>
              </w:rPr>
              <w:t xml:space="preserve"> </w:t>
            </w:r>
            <w:r w:rsidRPr="008C24A5">
              <w:rPr>
                <w:color w:val="BF4E14" w:themeColor="accent2" w:themeShade="BF"/>
                <w:lang w:val="et-EE"/>
              </w:rPr>
              <w:t xml:space="preserve">ja määruse üldsätetes sisalduvaid nõudeid vaata ABER-ist ning lisaks vaata ka </w:t>
            </w:r>
            <w:hyperlink r:id="rId20" w:history="1">
              <w:r w:rsidRPr="008C24A5">
                <w:rPr>
                  <w:rStyle w:val="Hyperlink"/>
                  <w:b/>
                  <w:bCs/>
                  <w:lang w:val="et-EE"/>
                </w:rPr>
                <w:t>meetme määrust</w:t>
              </w:r>
            </w:hyperlink>
            <w:r w:rsidRPr="008C24A5">
              <w:rPr>
                <w:color w:val="EE0000"/>
                <w:lang w:val="et-EE"/>
              </w:rPr>
              <w:t>.</w:t>
            </w:r>
          </w:p>
          <w:p w14:paraId="28E4BE7E" w14:textId="77777777" w:rsidR="000A5BF7" w:rsidRPr="008C24A5" w:rsidRDefault="000A5BF7" w:rsidP="00AF60FA">
            <w:pPr>
              <w:jc w:val="both"/>
              <w:rPr>
                <w:lang w:val="et-EE"/>
              </w:rPr>
            </w:pPr>
          </w:p>
          <w:p w14:paraId="5C5A9444" w14:textId="54555B26" w:rsidR="000A5BF7" w:rsidRPr="008C24A5" w:rsidRDefault="000A5BF7" w:rsidP="00AF60FA">
            <w:pPr>
              <w:jc w:val="both"/>
              <w:rPr>
                <w:lang w:val="et-EE"/>
              </w:rPr>
            </w:pPr>
          </w:p>
        </w:tc>
      </w:tr>
      <w:tr w:rsidR="000A5BF7" w:rsidRPr="008C24A5" w14:paraId="1BBDB145" w14:textId="77777777" w:rsidTr="000A5BF7">
        <w:tc>
          <w:tcPr>
            <w:tcW w:w="3139" w:type="dxa"/>
          </w:tcPr>
          <w:p w14:paraId="07320DD3" w14:textId="0696087B" w:rsidR="000A5BF7" w:rsidRPr="008C24A5" w:rsidRDefault="000A5BF7" w:rsidP="00AF60FA">
            <w:pPr>
              <w:jc w:val="both"/>
              <w:rPr>
                <w:lang w:val="et-EE"/>
              </w:rPr>
            </w:pPr>
          </w:p>
        </w:tc>
        <w:tc>
          <w:tcPr>
            <w:tcW w:w="10323" w:type="dxa"/>
          </w:tcPr>
          <w:p w14:paraId="2649080F" w14:textId="377F34C3" w:rsidR="000A5BF7" w:rsidRPr="008C24A5" w:rsidRDefault="000A5BF7" w:rsidP="00AF60FA">
            <w:pPr>
              <w:pStyle w:val="ListParagraph"/>
              <w:jc w:val="both"/>
              <w:rPr>
                <w:lang w:val="et-EE"/>
              </w:rPr>
            </w:pPr>
          </w:p>
        </w:tc>
      </w:tr>
      <w:tr w:rsidR="000A5BF7" w:rsidRPr="008C24A5" w14:paraId="3E9052C5" w14:textId="77777777" w:rsidTr="000A5BF7">
        <w:tc>
          <w:tcPr>
            <w:tcW w:w="3139" w:type="dxa"/>
          </w:tcPr>
          <w:p w14:paraId="0F4F3C40" w14:textId="296354C3" w:rsidR="000A5BF7" w:rsidRPr="008C24A5" w:rsidRDefault="000A5BF7" w:rsidP="00AF60FA">
            <w:pPr>
              <w:jc w:val="both"/>
              <w:rPr>
                <w:lang w:val="et-EE"/>
              </w:rPr>
            </w:pPr>
            <w:r w:rsidRPr="008C24A5">
              <w:rPr>
                <w:b/>
                <w:bCs/>
                <w:lang w:val="et-EE"/>
              </w:rPr>
              <w:t xml:space="preserve">(EL) 2023/2831 </w:t>
            </w:r>
            <w:r w:rsidRPr="008C24A5">
              <w:rPr>
                <w:lang w:val="et-EE"/>
              </w:rPr>
              <w:t>(VTA)</w:t>
            </w:r>
          </w:p>
        </w:tc>
        <w:tc>
          <w:tcPr>
            <w:tcW w:w="10323" w:type="dxa"/>
          </w:tcPr>
          <w:p w14:paraId="6DC72CC1" w14:textId="7F7A1FE5" w:rsidR="000A5BF7" w:rsidRPr="008C24A5" w:rsidRDefault="000A5BF7" w:rsidP="00AF60FA">
            <w:pPr>
              <w:jc w:val="both"/>
              <w:rPr>
                <w:b/>
                <w:bCs/>
                <w:lang w:val="et-EE"/>
              </w:rPr>
            </w:pPr>
            <w:r w:rsidRPr="008C24A5">
              <w:rPr>
                <w:b/>
                <w:bCs/>
                <w:lang w:val="et-EE"/>
              </w:rPr>
              <w:t>Vähese tähtsusega abi</w:t>
            </w:r>
          </w:p>
        </w:tc>
      </w:tr>
      <w:tr w:rsidR="000A5BF7" w:rsidRPr="008C24A5" w14:paraId="11D8BBB7" w14:textId="77777777" w:rsidTr="000A5BF7">
        <w:tc>
          <w:tcPr>
            <w:tcW w:w="3139" w:type="dxa"/>
          </w:tcPr>
          <w:p w14:paraId="787DF7E3" w14:textId="77777777" w:rsidR="000A5BF7" w:rsidRPr="008C24A5" w:rsidRDefault="000A5BF7" w:rsidP="00AF60FA">
            <w:pPr>
              <w:jc w:val="both"/>
              <w:rPr>
                <w:lang w:val="et-EE"/>
              </w:rPr>
            </w:pPr>
          </w:p>
        </w:tc>
        <w:tc>
          <w:tcPr>
            <w:tcW w:w="10323" w:type="dxa"/>
          </w:tcPr>
          <w:p w14:paraId="3BB74634" w14:textId="20BFBC22" w:rsidR="000A5BF7" w:rsidRPr="008C24A5" w:rsidRDefault="000A5BF7" w:rsidP="00AF60FA">
            <w:pPr>
              <w:pStyle w:val="ListParagraph"/>
              <w:numPr>
                <w:ilvl w:val="0"/>
                <w:numId w:val="5"/>
              </w:numPr>
              <w:jc w:val="both"/>
              <w:rPr>
                <w:lang w:val="et-EE"/>
              </w:rPr>
            </w:pPr>
            <w:r w:rsidRPr="008C24A5">
              <w:rPr>
                <w:lang w:val="et-EE"/>
              </w:rPr>
              <w:t xml:space="preserve">300 000 eurot ettevõtja kohta kolme aasta jooksul. </w:t>
            </w:r>
          </w:p>
          <w:p w14:paraId="27987C2F" w14:textId="66DC6704" w:rsidR="000A5BF7" w:rsidRPr="008C24A5" w:rsidRDefault="000A5BF7" w:rsidP="00AF60FA">
            <w:pPr>
              <w:jc w:val="both"/>
              <w:rPr>
                <w:lang w:val="et-EE"/>
              </w:rPr>
            </w:pPr>
          </w:p>
          <w:p w14:paraId="139BA525" w14:textId="065606B0" w:rsidR="000A5BF7" w:rsidRPr="008C24A5" w:rsidRDefault="000A5BF7" w:rsidP="00AF60FA">
            <w:pPr>
              <w:ind w:left="360"/>
              <w:jc w:val="both"/>
              <w:rPr>
                <w:lang w:val="et-EE"/>
              </w:rPr>
            </w:pPr>
          </w:p>
        </w:tc>
      </w:tr>
      <w:tr w:rsidR="000A5BF7" w:rsidRPr="008C24A5" w14:paraId="1A3F4B15" w14:textId="77777777" w:rsidTr="000A5BF7">
        <w:tc>
          <w:tcPr>
            <w:tcW w:w="3139" w:type="dxa"/>
          </w:tcPr>
          <w:p w14:paraId="1F1D6641" w14:textId="77777777" w:rsidR="000A5BF7" w:rsidRPr="008C24A5" w:rsidRDefault="000A5BF7" w:rsidP="00AF60FA">
            <w:pPr>
              <w:jc w:val="both"/>
              <w:rPr>
                <w:lang w:val="et-EE"/>
              </w:rPr>
            </w:pPr>
          </w:p>
        </w:tc>
        <w:tc>
          <w:tcPr>
            <w:tcW w:w="10323" w:type="dxa"/>
          </w:tcPr>
          <w:p w14:paraId="45E889F4" w14:textId="77777777" w:rsidR="000A5BF7" w:rsidRPr="008C24A5" w:rsidRDefault="000A5BF7" w:rsidP="00AF60FA">
            <w:pPr>
              <w:jc w:val="both"/>
              <w:rPr>
                <w:lang w:val="et-EE"/>
              </w:rPr>
            </w:pPr>
          </w:p>
        </w:tc>
      </w:tr>
      <w:tr w:rsidR="000A5BF7" w:rsidRPr="008C24A5" w14:paraId="06D13CDF" w14:textId="77777777" w:rsidTr="000A5BF7">
        <w:tc>
          <w:tcPr>
            <w:tcW w:w="3139" w:type="dxa"/>
          </w:tcPr>
          <w:p w14:paraId="56AF088E" w14:textId="77777777" w:rsidR="000A5BF7" w:rsidRPr="008C24A5" w:rsidRDefault="000A5BF7" w:rsidP="00AF60FA">
            <w:pPr>
              <w:jc w:val="both"/>
              <w:rPr>
                <w:lang w:val="et-EE"/>
              </w:rPr>
            </w:pPr>
          </w:p>
        </w:tc>
        <w:tc>
          <w:tcPr>
            <w:tcW w:w="10323" w:type="dxa"/>
          </w:tcPr>
          <w:p w14:paraId="13E80D2D" w14:textId="77777777" w:rsidR="000A5BF7" w:rsidRPr="008C24A5" w:rsidRDefault="000A5BF7" w:rsidP="00AF60FA">
            <w:pPr>
              <w:jc w:val="both"/>
              <w:rPr>
                <w:lang w:val="et-EE"/>
              </w:rPr>
            </w:pPr>
          </w:p>
        </w:tc>
      </w:tr>
    </w:tbl>
    <w:p w14:paraId="4947178C" w14:textId="77777777" w:rsidR="006E61C7" w:rsidRPr="00B23862" w:rsidRDefault="006E61C7">
      <w:pPr>
        <w:rPr>
          <w:lang w:val="et-EE"/>
        </w:rPr>
      </w:pPr>
    </w:p>
    <w:sectPr w:rsidR="006E61C7" w:rsidRPr="00B23862" w:rsidSect="006576FF">
      <w:pgSz w:w="15840" w:h="1224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671"/>
    <w:multiLevelType w:val="hybridMultilevel"/>
    <w:tmpl w:val="7AA443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FFB2339"/>
    <w:multiLevelType w:val="hybridMultilevel"/>
    <w:tmpl w:val="E3D87B28"/>
    <w:lvl w:ilvl="0" w:tplc="E924AA6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03C3152"/>
    <w:multiLevelType w:val="hybridMultilevel"/>
    <w:tmpl w:val="4A389376"/>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 w15:restartNumberingAfterBreak="0">
    <w:nsid w:val="310D7E8F"/>
    <w:multiLevelType w:val="hybridMultilevel"/>
    <w:tmpl w:val="678256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DA04125"/>
    <w:multiLevelType w:val="hybridMultilevel"/>
    <w:tmpl w:val="E12AC0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5876767"/>
    <w:multiLevelType w:val="hybridMultilevel"/>
    <w:tmpl w:val="2FE61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0967905"/>
    <w:multiLevelType w:val="hybridMultilevel"/>
    <w:tmpl w:val="2A8A78A6"/>
    <w:lvl w:ilvl="0" w:tplc="E924AA6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14420580">
    <w:abstractNumId w:val="4"/>
  </w:num>
  <w:num w:numId="2" w16cid:durableId="1787116670">
    <w:abstractNumId w:val="5"/>
  </w:num>
  <w:num w:numId="3" w16cid:durableId="172453346">
    <w:abstractNumId w:val="0"/>
  </w:num>
  <w:num w:numId="4" w16cid:durableId="1938096873">
    <w:abstractNumId w:val="2"/>
  </w:num>
  <w:num w:numId="5" w16cid:durableId="1144421369">
    <w:abstractNumId w:val="1"/>
  </w:num>
  <w:num w:numId="6" w16cid:durableId="120077349">
    <w:abstractNumId w:val="6"/>
  </w:num>
  <w:num w:numId="7" w16cid:durableId="1876653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FF"/>
    <w:rsid w:val="00004D4D"/>
    <w:rsid w:val="000054F9"/>
    <w:rsid w:val="00084543"/>
    <w:rsid w:val="000A1C25"/>
    <w:rsid w:val="000A5BF7"/>
    <w:rsid w:val="000B4DAF"/>
    <w:rsid w:val="000E5BF9"/>
    <w:rsid w:val="000F748D"/>
    <w:rsid w:val="00101CDD"/>
    <w:rsid w:val="00105770"/>
    <w:rsid w:val="001A147A"/>
    <w:rsid w:val="001D0A2C"/>
    <w:rsid w:val="001F1A6A"/>
    <w:rsid w:val="00216F60"/>
    <w:rsid w:val="002B1A7A"/>
    <w:rsid w:val="003162A7"/>
    <w:rsid w:val="00377D90"/>
    <w:rsid w:val="003A4219"/>
    <w:rsid w:val="003C63A6"/>
    <w:rsid w:val="003E65DA"/>
    <w:rsid w:val="00446EF2"/>
    <w:rsid w:val="00486AEA"/>
    <w:rsid w:val="004A3695"/>
    <w:rsid w:val="004F20BD"/>
    <w:rsid w:val="005472E7"/>
    <w:rsid w:val="005628C0"/>
    <w:rsid w:val="00572F1E"/>
    <w:rsid w:val="0059126B"/>
    <w:rsid w:val="006576FF"/>
    <w:rsid w:val="006715E5"/>
    <w:rsid w:val="006970F8"/>
    <w:rsid w:val="006B7F86"/>
    <w:rsid w:val="006E61C7"/>
    <w:rsid w:val="007146E6"/>
    <w:rsid w:val="00744D71"/>
    <w:rsid w:val="00765800"/>
    <w:rsid w:val="00835452"/>
    <w:rsid w:val="00840FE0"/>
    <w:rsid w:val="008C24A5"/>
    <w:rsid w:val="008C414A"/>
    <w:rsid w:val="00921A06"/>
    <w:rsid w:val="00980EB3"/>
    <w:rsid w:val="00992F86"/>
    <w:rsid w:val="009D004C"/>
    <w:rsid w:val="009F2C33"/>
    <w:rsid w:val="00A01FF8"/>
    <w:rsid w:val="00A20C54"/>
    <w:rsid w:val="00A60F90"/>
    <w:rsid w:val="00AF60FA"/>
    <w:rsid w:val="00B0434E"/>
    <w:rsid w:val="00B23862"/>
    <w:rsid w:val="00B447EB"/>
    <w:rsid w:val="00B673EB"/>
    <w:rsid w:val="00B733EE"/>
    <w:rsid w:val="00B81F48"/>
    <w:rsid w:val="00B95678"/>
    <w:rsid w:val="00BB7FFD"/>
    <w:rsid w:val="00BF2064"/>
    <w:rsid w:val="00C62C3B"/>
    <w:rsid w:val="00C63E9A"/>
    <w:rsid w:val="00CB78AB"/>
    <w:rsid w:val="00CC7357"/>
    <w:rsid w:val="00CD4E99"/>
    <w:rsid w:val="00D87EDE"/>
    <w:rsid w:val="00DA6A1E"/>
    <w:rsid w:val="00DB5A5A"/>
    <w:rsid w:val="00DE0368"/>
    <w:rsid w:val="00E13B73"/>
    <w:rsid w:val="00E157B0"/>
    <w:rsid w:val="00E5087B"/>
    <w:rsid w:val="00ED2992"/>
    <w:rsid w:val="00F2734F"/>
    <w:rsid w:val="00F3627D"/>
    <w:rsid w:val="00F774F4"/>
    <w:rsid w:val="00F904D9"/>
    <w:rsid w:val="00FA2FC3"/>
    <w:rsid w:val="00FC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AB67"/>
  <w15:chartTrackingRefBased/>
  <w15:docId w15:val="{5433C37B-2731-4E2C-90A4-9EFED79D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6FF"/>
    <w:rPr>
      <w:rFonts w:eastAsiaTheme="majorEastAsia" w:cstheme="majorBidi"/>
      <w:color w:val="272727" w:themeColor="text1" w:themeTint="D8"/>
    </w:rPr>
  </w:style>
  <w:style w:type="paragraph" w:styleId="Title">
    <w:name w:val="Title"/>
    <w:basedOn w:val="Normal"/>
    <w:next w:val="Normal"/>
    <w:link w:val="TitleChar"/>
    <w:uiPriority w:val="10"/>
    <w:qFormat/>
    <w:rsid w:val="00657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6FF"/>
    <w:pPr>
      <w:spacing w:before="160"/>
      <w:jc w:val="center"/>
    </w:pPr>
    <w:rPr>
      <w:i/>
      <w:iCs/>
      <w:color w:val="404040" w:themeColor="text1" w:themeTint="BF"/>
    </w:rPr>
  </w:style>
  <w:style w:type="character" w:customStyle="1" w:styleId="QuoteChar">
    <w:name w:val="Quote Char"/>
    <w:basedOn w:val="DefaultParagraphFont"/>
    <w:link w:val="Quote"/>
    <w:uiPriority w:val="29"/>
    <w:rsid w:val="006576FF"/>
    <w:rPr>
      <w:i/>
      <w:iCs/>
      <w:color w:val="404040" w:themeColor="text1" w:themeTint="BF"/>
    </w:rPr>
  </w:style>
  <w:style w:type="paragraph" w:styleId="ListParagraph">
    <w:name w:val="List Paragraph"/>
    <w:basedOn w:val="Normal"/>
    <w:uiPriority w:val="34"/>
    <w:qFormat/>
    <w:rsid w:val="006576FF"/>
    <w:pPr>
      <w:ind w:left="720"/>
      <w:contextualSpacing/>
    </w:pPr>
  </w:style>
  <w:style w:type="character" w:styleId="IntenseEmphasis">
    <w:name w:val="Intense Emphasis"/>
    <w:basedOn w:val="DefaultParagraphFont"/>
    <w:uiPriority w:val="21"/>
    <w:qFormat/>
    <w:rsid w:val="006576FF"/>
    <w:rPr>
      <w:i/>
      <w:iCs/>
      <w:color w:val="0F4761" w:themeColor="accent1" w:themeShade="BF"/>
    </w:rPr>
  </w:style>
  <w:style w:type="paragraph" w:styleId="IntenseQuote">
    <w:name w:val="Intense Quote"/>
    <w:basedOn w:val="Normal"/>
    <w:next w:val="Normal"/>
    <w:link w:val="IntenseQuoteChar"/>
    <w:uiPriority w:val="30"/>
    <w:qFormat/>
    <w:rsid w:val="00657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6FF"/>
    <w:rPr>
      <w:i/>
      <w:iCs/>
      <w:color w:val="0F4761" w:themeColor="accent1" w:themeShade="BF"/>
    </w:rPr>
  </w:style>
  <w:style w:type="character" w:styleId="IntenseReference">
    <w:name w:val="Intense Reference"/>
    <w:basedOn w:val="DefaultParagraphFont"/>
    <w:uiPriority w:val="32"/>
    <w:qFormat/>
    <w:rsid w:val="006576FF"/>
    <w:rPr>
      <w:b/>
      <w:bCs/>
      <w:smallCaps/>
      <w:color w:val="0F4761" w:themeColor="accent1" w:themeShade="BF"/>
      <w:spacing w:val="5"/>
    </w:rPr>
  </w:style>
  <w:style w:type="table" w:styleId="TableGrid">
    <w:name w:val="Table Grid"/>
    <w:basedOn w:val="TableNormal"/>
    <w:uiPriority w:val="39"/>
    <w:rsid w:val="0065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76FF"/>
    <w:rPr>
      <w:color w:val="467886" w:themeColor="hyperlink"/>
      <w:u w:val="single"/>
    </w:rPr>
  </w:style>
  <w:style w:type="character" w:styleId="UnresolvedMention">
    <w:name w:val="Unresolved Mention"/>
    <w:basedOn w:val="DefaultParagraphFont"/>
    <w:uiPriority w:val="99"/>
    <w:semiHidden/>
    <w:unhideWhenUsed/>
    <w:rsid w:val="006576FF"/>
    <w:rPr>
      <w:color w:val="605E5C"/>
      <w:shd w:val="clear" w:color="auto" w:fill="E1DFDD"/>
    </w:rPr>
  </w:style>
  <w:style w:type="character" w:styleId="CommentReference">
    <w:name w:val="annotation reference"/>
    <w:basedOn w:val="DefaultParagraphFont"/>
    <w:uiPriority w:val="99"/>
    <w:semiHidden/>
    <w:unhideWhenUsed/>
    <w:rsid w:val="00D87EDE"/>
    <w:rPr>
      <w:sz w:val="16"/>
      <w:szCs w:val="16"/>
    </w:rPr>
  </w:style>
  <w:style w:type="paragraph" w:styleId="CommentText">
    <w:name w:val="annotation text"/>
    <w:basedOn w:val="Normal"/>
    <w:link w:val="CommentTextChar"/>
    <w:uiPriority w:val="99"/>
    <w:unhideWhenUsed/>
    <w:rsid w:val="00D87EDE"/>
    <w:pPr>
      <w:spacing w:line="240" w:lineRule="auto"/>
    </w:pPr>
    <w:rPr>
      <w:sz w:val="20"/>
      <w:szCs w:val="20"/>
    </w:rPr>
  </w:style>
  <w:style w:type="character" w:customStyle="1" w:styleId="CommentTextChar">
    <w:name w:val="Comment Text Char"/>
    <w:basedOn w:val="DefaultParagraphFont"/>
    <w:link w:val="CommentText"/>
    <w:uiPriority w:val="99"/>
    <w:rsid w:val="00D87EDE"/>
    <w:rPr>
      <w:sz w:val="20"/>
      <w:szCs w:val="20"/>
    </w:rPr>
  </w:style>
  <w:style w:type="paragraph" w:styleId="CommentSubject">
    <w:name w:val="annotation subject"/>
    <w:basedOn w:val="CommentText"/>
    <w:next w:val="CommentText"/>
    <w:link w:val="CommentSubjectChar"/>
    <w:uiPriority w:val="99"/>
    <w:semiHidden/>
    <w:unhideWhenUsed/>
    <w:rsid w:val="00D87EDE"/>
    <w:rPr>
      <w:b/>
      <w:bCs/>
    </w:rPr>
  </w:style>
  <w:style w:type="character" w:customStyle="1" w:styleId="CommentSubjectChar">
    <w:name w:val="Comment Subject Char"/>
    <w:basedOn w:val="CommentTextChar"/>
    <w:link w:val="CommentSubject"/>
    <w:uiPriority w:val="99"/>
    <w:semiHidden/>
    <w:rsid w:val="00D87EDE"/>
    <w:rPr>
      <w:b/>
      <w:bCs/>
      <w:sz w:val="20"/>
      <w:szCs w:val="20"/>
    </w:rPr>
  </w:style>
  <w:style w:type="character" w:styleId="FollowedHyperlink">
    <w:name w:val="FollowedHyperlink"/>
    <w:basedOn w:val="DefaultParagraphFont"/>
    <w:uiPriority w:val="99"/>
    <w:semiHidden/>
    <w:unhideWhenUsed/>
    <w:rsid w:val="000A5B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CELEX:02014R0651-20230701" TargetMode="External"/><Relationship Id="rId13" Type="http://schemas.openxmlformats.org/officeDocument/2006/relationships/hyperlink" Target="https://www.riigiteataja.ee/akt/102082025004" TargetMode="External"/><Relationship Id="rId18" Type="http://schemas.openxmlformats.org/officeDocument/2006/relationships/hyperlink" Target="https://eur-lex.europa.eu/legal-content/ET/TXT/?uri=CELEX:52022XC1221(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ur-lex.europa.eu/legal-content/ET/TXT/?uri=CELEX:02014R0651-20230701" TargetMode="External"/><Relationship Id="rId12" Type="http://schemas.openxmlformats.org/officeDocument/2006/relationships/hyperlink" Target="https://eur-lex.europa.eu/legal-content/ET/TXT/?uri=CELEX:02014R0651-20230701" TargetMode="External"/><Relationship Id="rId17" Type="http://schemas.openxmlformats.org/officeDocument/2006/relationships/hyperlink" Target="https://eur-lex.europa.eu/legal-content/ET/TXT/?uri=CELEX%3A02022R2472-20231213" TargetMode="External"/><Relationship Id="rId2" Type="http://schemas.openxmlformats.org/officeDocument/2006/relationships/styles" Target="styles.xml"/><Relationship Id="rId16" Type="http://schemas.openxmlformats.org/officeDocument/2006/relationships/hyperlink" Target="https://www.riigiteataja.ee/akt/102082025004" TargetMode="External"/><Relationship Id="rId20" Type="http://schemas.openxmlformats.org/officeDocument/2006/relationships/hyperlink" Target="https://www.riigiteataja.ee/akt/102082025004" TargetMode="External"/><Relationship Id="rId1" Type="http://schemas.openxmlformats.org/officeDocument/2006/relationships/numbering" Target="numbering.xml"/><Relationship Id="rId6" Type="http://schemas.openxmlformats.org/officeDocument/2006/relationships/hyperlink" Target="https://eur-lex.europa.eu/legal-content/ET/TXT/?uri=CELEX:02014R0651-20230701" TargetMode="External"/><Relationship Id="rId11" Type="http://schemas.openxmlformats.org/officeDocument/2006/relationships/hyperlink" Target="https://eur-lex.europa.eu/legal-content/ET/TXT/?uri=CELEX:02014R0651-20230701" TargetMode="External"/><Relationship Id="rId5" Type="http://schemas.openxmlformats.org/officeDocument/2006/relationships/hyperlink" Target="https://www.riigiteataja.ee/akt/102082025004" TargetMode="External"/><Relationship Id="rId15" Type="http://schemas.openxmlformats.org/officeDocument/2006/relationships/hyperlink" Target="https://eur-lex.europa.eu/legal-content/ET/TXT/?uri=CELEX:02014R0651-20230701" TargetMode="External"/><Relationship Id="rId10" Type="http://schemas.openxmlformats.org/officeDocument/2006/relationships/hyperlink" Target="https://eur-lex.europa.eu/legal-content/ET/TXT/?uri=CELEX:02014R0651-20230701" TargetMode="External"/><Relationship Id="rId19" Type="http://schemas.openxmlformats.org/officeDocument/2006/relationships/hyperlink" Target="https://eur-lex.europa.eu/legal-content/ET/TXT/?uri=CELEX:02022R2472-20231213" TargetMode="External"/><Relationship Id="rId4" Type="http://schemas.openxmlformats.org/officeDocument/2006/relationships/webSettings" Target="webSettings.xml"/><Relationship Id="rId9" Type="http://schemas.openxmlformats.org/officeDocument/2006/relationships/hyperlink" Target="https://www.riigiteataja.ee/akt/102082025004" TargetMode="External"/><Relationship Id="rId14" Type="http://schemas.openxmlformats.org/officeDocument/2006/relationships/hyperlink" Target="https://eur-lex.europa.eu/legal-content/ET/TXT/?uri=CELEX:02014R0651-202307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1228</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Pirkko-Liisa Meius</dc:creator>
  <cp:keywords/>
  <dc:description/>
  <cp:lastModifiedBy>Hanna-Liina Nöör</cp:lastModifiedBy>
  <cp:revision>10</cp:revision>
  <dcterms:created xsi:type="dcterms:W3CDTF">2025-10-24T12:59:00Z</dcterms:created>
  <dcterms:modified xsi:type="dcterms:W3CDTF">2025-10-31T09:20:00Z</dcterms:modified>
</cp:coreProperties>
</file>