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2382" w14:textId="1E1F01F9" w:rsidR="005A07ED" w:rsidRDefault="00E85199">
      <w:pPr>
        <w:rPr>
          <w:rFonts w:ascii="Aino" w:hAnsi="Aino"/>
          <w:sz w:val="36"/>
          <w:szCs w:val="36"/>
        </w:rPr>
      </w:pPr>
      <w:r w:rsidRPr="00E85199">
        <w:rPr>
          <w:rFonts w:ascii="Aino" w:hAnsi="Aino"/>
          <w:sz w:val="36"/>
          <w:szCs w:val="36"/>
        </w:rPr>
        <w:t>Hindamiskriteeriumid</w:t>
      </w:r>
    </w:p>
    <w:p w14:paraId="56762D0D" w14:textId="77777777" w:rsidR="009F063C" w:rsidRDefault="009F063C" w:rsidP="00E85199">
      <w:pPr>
        <w:rPr>
          <w:rFonts w:ascii="Aino" w:hAnsi="Aino"/>
          <w:sz w:val="24"/>
          <w:szCs w:val="24"/>
        </w:rPr>
      </w:pPr>
    </w:p>
    <w:p w14:paraId="2653CFFB" w14:textId="5523B8D2" w:rsidR="00E85199" w:rsidRPr="00E85199" w:rsidRDefault="00E85199" w:rsidP="00E85199">
      <w:pPr>
        <w:rPr>
          <w:rFonts w:ascii="Aino" w:hAnsi="Aino"/>
          <w:sz w:val="24"/>
          <w:szCs w:val="24"/>
        </w:rPr>
      </w:pPr>
      <w:r w:rsidRPr="00E85199">
        <w:rPr>
          <w:rFonts w:ascii="Aino" w:hAnsi="Aino"/>
          <w:sz w:val="24"/>
          <w:szCs w:val="24"/>
        </w:rPr>
        <w:t xml:space="preserve">PRIA hindab nõuetele vastavaid taotlusi hindamiskriteeriumite alusel, </w:t>
      </w:r>
      <w:r w:rsidR="00E7635D" w:rsidRPr="00E7635D">
        <w:rPr>
          <w:rFonts w:ascii="Aino" w:hAnsi="Aino"/>
          <w:sz w:val="24"/>
          <w:szCs w:val="24"/>
        </w:rPr>
        <w:t>andes iga hindamiskriteeriumi eest hindepunkte vahemikus 1–3, kus esimese ja kolmanda hindamiskriteeriumi puhul on kõrgeim hindepunktide arv kaks ja madalaim üks ning teise hindamiskriteeriumi puhul on kõrgeim hindepunktide arv kolm ja madalaim üks.</w:t>
      </w:r>
    </w:p>
    <w:p w14:paraId="3CF4017C" w14:textId="77777777" w:rsidR="00E7635D" w:rsidRDefault="00E7635D" w:rsidP="00E7635D">
      <w:pPr>
        <w:rPr>
          <w:rFonts w:ascii="Aino" w:hAnsi="Aino"/>
          <w:sz w:val="24"/>
          <w:szCs w:val="24"/>
        </w:rPr>
      </w:pPr>
    </w:p>
    <w:p w14:paraId="15CCD385" w14:textId="10523626" w:rsidR="00E7635D" w:rsidRPr="00E7635D" w:rsidRDefault="00E7635D" w:rsidP="00E7635D">
      <w:pPr>
        <w:rPr>
          <w:rFonts w:ascii="Aino" w:hAnsi="Aino"/>
          <w:sz w:val="24"/>
          <w:szCs w:val="24"/>
        </w:rPr>
      </w:pPr>
      <w:r w:rsidRPr="00E7635D">
        <w:rPr>
          <w:rFonts w:ascii="Aino" w:hAnsi="Aino"/>
          <w:sz w:val="24"/>
          <w:szCs w:val="24"/>
        </w:rPr>
        <w:t>Esimene hindamiskriteerium on taotleja suurem omafinantseeringu osakaal, mille puhul hinnatakse, kui suur on toetatava tegevuse toetuse määr, andes hindepunkte järgmiselt:</w:t>
      </w:r>
    </w:p>
    <w:p w14:paraId="14727828" w14:textId="216ADC94" w:rsidR="00E7635D" w:rsidRPr="00E7635D" w:rsidRDefault="00E7635D" w:rsidP="00E7635D">
      <w:pPr>
        <w:rPr>
          <w:rFonts w:ascii="Aino" w:hAnsi="Aino"/>
          <w:sz w:val="24"/>
          <w:szCs w:val="24"/>
        </w:rPr>
      </w:pPr>
      <w:r w:rsidRPr="00E7635D">
        <w:rPr>
          <w:rFonts w:ascii="Aino" w:hAnsi="Aino"/>
          <w:sz w:val="24"/>
          <w:szCs w:val="24"/>
        </w:rPr>
        <w:t>1) toetatava tegevuse toetuse määr on 70 protsenti – üks hindepunkt;</w:t>
      </w:r>
    </w:p>
    <w:p w14:paraId="6041FFEB" w14:textId="067858FF" w:rsidR="00E85199" w:rsidRDefault="00E7635D" w:rsidP="00E7635D">
      <w:pPr>
        <w:rPr>
          <w:rFonts w:ascii="Aino" w:hAnsi="Aino"/>
          <w:sz w:val="24"/>
          <w:szCs w:val="24"/>
        </w:rPr>
      </w:pPr>
      <w:r w:rsidRPr="00E7635D">
        <w:rPr>
          <w:rFonts w:ascii="Aino" w:hAnsi="Aino"/>
          <w:sz w:val="24"/>
          <w:szCs w:val="24"/>
        </w:rPr>
        <w:t>2) toetatava tegevuse toetuse määr on alla 70 protsendi – kaks hindepunkti.</w:t>
      </w:r>
    </w:p>
    <w:p w14:paraId="6D37CA21" w14:textId="77777777" w:rsidR="00E7635D" w:rsidRDefault="00E7635D" w:rsidP="00E85199">
      <w:pPr>
        <w:rPr>
          <w:rFonts w:ascii="Aino" w:hAnsi="Aino"/>
          <w:sz w:val="24"/>
          <w:szCs w:val="24"/>
        </w:rPr>
      </w:pPr>
    </w:p>
    <w:p w14:paraId="09BCD226" w14:textId="77777777" w:rsidR="00E7635D" w:rsidRPr="00E7635D" w:rsidRDefault="00E7635D" w:rsidP="00E7635D">
      <w:pPr>
        <w:rPr>
          <w:rFonts w:ascii="Aino" w:hAnsi="Aino"/>
          <w:sz w:val="24"/>
          <w:szCs w:val="24"/>
        </w:rPr>
      </w:pPr>
      <w:r w:rsidRPr="00E7635D">
        <w:rPr>
          <w:rFonts w:ascii="Aino" w:hAnsi="Aino"/>
          <w:sz w:val="24"/>
          <w:szCs w:val="24"/>
        </w:rPr>
        <w:t>Teine hindamiskriteerium on toetatava tegevuse suurem mõju regionaalselt tasakaalustatud arengule, mille puhul hinnatakse, kuivõrd viiakse toetatavat tegevust ellu kaugemal suurematest keskustest, andes hindepunkte järgmiselt:</w:t>
      </w:r>
    </w:p>
    <w:p w14:paraId="2BD6BE6B" w14:textId="77777777" w:rsidR="00E7635D" w:rsidRPr="00E7635D" w:rsidRDefault="00E7635D" w:rsidP="00E7635D">
      <w:pPr>
        <w:rPr>
          <w:rFonts w:ascii="Aino" w:hAnsi="Aino"/>
          <w:sz w:val="24"/>
          <w:szCs w:val="24"/>
        </w:rPr>
      </w:pPr>
      <w:r w:rsidRPr="00E7635D">
        <w:rPr>
          <w:rFonts w:ascii="Aino" w:hAnsi="Aino"/>
          <w:sz w:val="24"/>
          <w:szCs w:val="24"/>
        </w:rPr>
        <w:t>1) toetatav tegevus viiakse ellu Tallinnas või Tallinnaga piirnevas Jõelähtme, Harku, Kiili, Rae, Saku, Saue või Viimsi vallas – üks hindepunkt;</w:t>
      </w:r>
    </w:p>
    <w:p w14:paraId="6853D4B4" w14:textId="77777777" w:rsidR="00E7635D" w:rsidRPr="00E7635D" w:rsidRDefault="00E7635D" w:rsidP="00E7635D">
      <w:pPr>
        <w:rPr>
          <w:rFonts w:ascii="Aino" w:hAnsi="Aino"/>
          <w:sz w:val="24"/>
          <w:szCs w:val="24"/>
        </w:rPr>
      </w:pPr>
      <w:r w:rsidRPr="00E7635D">
        <w:rPr>
          <w:rFonts w:ascii="Aino" w:hAnsi="Aino"/>
          <w:sz w:val="24"/>
          <w:szCs w:val="24"/>
        </w:rPr>
        <w:t>2) toetatav tegevus viiakse ellu väljaspool Tallinnaga piirnevat valda – kaks hindepunkti;</w:t>
      </w:r>
    </w:p>
    <w:p w14:paraId="07A2CE1F" w14:textId="7313E251" w:rsidR="00E85199" w:rsidRPr="00E85199" w:rsidRDefault="00E7635D" w:rsidP="00E7635D">
      <w:pPr>
        <w:rPr>
          <w:rFonts w:ascii="Aino" w:hAnsi="Aino"/>
          <w:sz w:val="24"/>
          <w:szCs w:val="24"/>
        </w:rPr>
      </w:pPr>
      <w:r w:rsidRPr="00E7635D">
        <w:rPr>
          <w:rFonts w:ascii="Aino" w:hAnsi="Aino"/>
          <w:sz w:val="24"/>
          <w:szCs w:val="24"/>
        </w:rPr>
        <w:t>3) toetatav tegevus viiakse ellu saarel – kolm hindepunkti.</w:t>
      </w:r>
    </w:p>
    <w:p w14:paraId="5309512A" w14:textId="77777777" w:rsidR="00E7635D" w:rsidRDefault="00E7635D" w:rsidP="00E85199">
      <w:pPr>
        <w:rPr>
          <w:rFonts w:ascii="Aino" w:hAnsi="Aino"/>
          <w:sz w:val="24"/>
          <w:szCs w:val="24"/>
        </w:rPr>
      </w:pPr>
    </w:p>
    <w:p w14:paraId="09B2B238" w14:textId="77777777" w:rsidR="00E7635D" w:rsidRPr="00E7635D" w:rsidRDefault="00E7635D" w:rsidP="00E7635D">
      <w:pPr>
        <w:rPr>
          <w:rFonts w:ascii="Aino" w:hAnsi="Aino"/>
          <w:sz w:val="24"/>
          <w:szCs w:val="24"/>
        </w:rPr>
      </w:pPr>
      <w:r w:rsidRPr="00E7635D">
        <w:rPr>
          <w:rFonts w:ascii="Aino" w:hAnsi="Aino"/>
          <w:sz w:val="24"/>
          <w:szCs w:val="24"/>
        </w:rPr>
        <w:t>Kolmas hindamiskriteerium on toetatava tegevuse suurem mõju vedelkütuse varustuskindluse riskide vähendamisele, mille puhul hinnatakse, kui suur on vedelkütuse hoidmise või ladustamise kogus, andes hindepunkte järgmiselt:</w:t>
      </w:r>
    </w:p>
    <w:p w14:paraId="276BD634" w14:textId="77777777" w:rsidR="00E7635D" w:rsidRPr="00E7635D" w:rsidRDefault="00E7635D" w:rsidP="00E7635D">
      <w:pPr>
        <w:rPr>
          <w:rFonts w:ascii="Aino" w:hAnsi="Aino"/>
          <w:sz w:val="24"/>
          <w:szCs w:val="24"/>
        </w:rPr>
      </w:pPr>
      <w:r w:rsidRPr="00E7635D">
        <w:rPr>
          <w:rFonts w:ascii="Aino" w:hAnsi="Aino"/>
          <w:sz w:val="24"/>
          <w:szCs w:val="24"/>
        </w:rPr>
        <w:t>1) toetatav tegevus viiakse ellu 5000 liitri vedelkütuse hoidmiseks või ladustamiseks – üks hindepunkt;</w:t>
      </w:r>
    </w:p>
    <w:p w14:paraId="6322C097" w14:textId="6F0543C8" w:rsidR="00E85199" w:rsidRPr="00E85199" w:rsidRDefault="00E7635D" w:rsidP="00E7635D">
      <w:pPr>
        <w:rPr>
          <w:rFonts w:ascii="Aino" w:hAnsi="Aino"/>
          <w:sz w:val="24"/>
          <w:szCs w:val="24"/>
        </w:rPr>
      </w:pPr>
      <w:r w:rsidRPr="00E7635D">
        <w:rPr>
          <w:rFonts w:ascii="Aino" w:hAnsi="Aino"/>
          <w:sz w:val="24"/>
          <w:szCs w:val="24"/>
        </w:rPr>
        <w:t>2) toetatav tegevus viiakse ellu üle 5000 liitri vedelkütuse hoidmiseks või ladustamiseks – kaks hindepunkti.</w:t>
      </w:r>
    </w:p>
    <w:p w14:paraId="63DF4BED" w14:textId="77777777" w:rsidR="00E7635D" w:rsidRDefault="00E7635D" w:rsidP="00E85199">
      <w:pPr>
        <w:rPr>
          <w:rFonts w:ascii="Aino" w:hAnsi="Aino"/>
          <w:sz w:val="24"/>
          <w:szCs w:val="24"/>
        </w:rPr>
      </w:pPr>
    </w:p>
    <w:p w14:paraId="660EB820" w14:textId="268D2826" w:rsidR="00E85199" w:rsidRDefault="00E7635D" w:rsidP="00E85199">
      <w:pPr>
        <w:rPr>
          <w:rFonts w:ascii="Aino" w:hAnsi="Aino"/>
          <w:sz w:val="24"/>
          <w:szCs w:val="24"/>
        </w:rPr>
      </w:pPr>
      <w:r w:rsidRPr="00E7635D">
        <w:rPr>
          <w:rFonts w:ascii="Aino" w:hAnsi="Aino"/>
          <w:sz w:val="24"/>
          <w:szCs w:val="24"/>
        </w:rPr>
        <w:t>Hindamiskriteeriumite miinimumnõue on, et taotlus on saanud vähemalt kaks hindepunkti.</w:t>
      </w:r>
    </w:p>
    <w:p w14:paraId="00BEA236" w14:textId="77777777" w:rsidR="00E7635D" w:rsidRDefault="00E7635D" w:rsidP="00E85199">
      <w:pPr>
        <w:rPr>
          <w:rFonts w:ascii="Aino" w:hAnsi="Aino"/>
          <w:sz w:val="24"/>
          <w:szCs w:val="24"/>
        </w:rPr>
      </w:pPr>
    </w:p>
    <w:p w14:paraId="269B704C" w14:textId="1049F813" w:rsidR="00E85199" w:rsidRPr="00E85199" w:rsidRDefault="00E85199" w:rsidP="00E85199">
      <w:pPr>
        <w:rPr>
          <w:rFonts w:ascii="Aino" w:hAnsi="Aino"/>
          <w:sz w:val="24"/>
          <w:szCs w:val="24"/>
        </w:rPr>
      </w:pPr>
      <w:r w:rsidRPr="00E85199">
        <w:rPr>
          <w:rFonts w:ascii="Aino" w:hAnsi="Aino"/>
          <w:sz w:val="24"/>
          <w:szCs w:val="24"/>
        </w:rPr>
        <w:t>PRIA moodustab hindamistulemuste põhjal taotluste paremusjärjestuse.</w:t>
      </w:r>
    </w:p>
    <w:sectPr w:rsidR="00E85199" w:rsidRPr="00E8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99"/>
    <w:rsid w:val="005A07ED"/>
    <w:rsid w:val="009F063C"/>
    <w:rsid w:val="00B33CE3"/>
    <w:rsid w:val="00CE3E3B"/>
    <w:rsid w:val="00E7635D"/>
    <w:rsid w:val="00E851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E139"/>
  <w15:chartTrackingRefBased/>
  <w15:docId w15:val="{5A2354B4-8E51-46A2-97C5-163E0573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1518</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Liiv</dc:creator>
  <cp:keywords/>
  <dc:description/>
  <cp:lastModifiedBy>Elen Liiv</cp:lastModifiedBy>
  <cp:revision>5</cp:revision>
  <dcterms:created xsi:type="dcterms:W3CDTF">2024-11-22T16:21:00Z</dcterms:created>
  <dcterms:modified xsi:type="dcterms:W3CDTF">2024-11-27T08:47:00Z</dcterms:modified>
</cp:coreProperties>
</file>