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5D79" w14:textId="77777777" w:rsidR="00C55DC8" w:rsidRDefault="00C55DC8"/>
    <w:p w14:paraId="5B0BB356" w14:textId="77777777" w:rsidR="001C205A" w:rsidRPr="0019398B" w:rsidRDefault="001C205A">
      <w:pPr>
        <w:pStyle w:val="Heading1"/>
      </w:pPr>
      <w:r w:rsidRPr="0019398B">
        <w:t>Põllumajanduse Registrite ja Informatsiooni Amet</w:t>
      </w:r>
    </w:p>
    <w:p w14:paraId="6AEBD5E9" w14:textId="77777777" w:rsidR="001C205A" w:rsidRPr="0019398B" w:rsidRDefault="001C205A">
      <w:pPr>
        <w:pStyle w:val="Heading1"/>
      </w:pPr>
      <w:r w:rsidRPr="0019398B">
        <w:t>AMETIJUHEND</w:t>
      </w:r>
    </w:p>
    <w:p w14:paraId="747A4C85" w14:textId="77777777" w:rsidR="001C205A" w:rsidRDefault="001C205A">
      <w:pPr>
        <w:rPr>
          <w:lang w:val="et-EE"/>
        </w:rPr>
      </w:pPr>
    </w:p>
    <w:p w14:paraId="6460F96A" w14:textId="77777777" w:rsidR="00D939AF" w:rsidRPr="0019398B" w:rsidRDefault="00D939AF">
      <w:pPr>
        <w:rPr>
          <w:lang w:val="et-EE"/>
        </w:rPr>
      </w:pPr>
    </w:p>
    <w:tbl>
      <w:tblPr>
        <w:tblW w:w="91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240"/>
        <w:gridCol w:w="5950"/>
      </w:tblGrid>
      <w:tr w:rsidR="001C205A" w:rsidRPr="0019398B" w14:paraId="755EF088" w14:textId="77777777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D67458" w14:textId="03CF8E5F" w:rsidR="001C205A" w:rsidRPr="0019398B" w:rsidRDefault="005F53E2">
            <w:pPr>
              <w:pStyle w:val="Heading2"/>
            </w:pPr>
            <w:r>
              <w:t>Ameti</w:t>
            </w:r>
            <w:r w:rsidR="000B6D04">
              <w:t>koha nimetus</w:t>
            </w:r>
          </w:p>
        </w:tc>
        <w:tc>
          <w:tcPr>
            <w:tcW w:w="5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0858" w14:textId="5E7F1229" w:rsidR="001C205A" w:rsidRPr="0019398B" w:rsidRDefault="00BE5D6B" w:rsidP="00DC6D26">
            <w:pPr>
              <w:rPr>
                <w:lang w:val="et-EE"/>
              </w:rPr>
            </w:pPr>
            <w:r>
              <w:rPr>
                <w:lang w:val="et-EE"/>
              </w:rPr>
              <w:t>Ärianalüüt</w:t>
            </w:r>
            <w:r w:rsidR="001C205A" w:rsidRPr="0019398B">
              <w:rPr>
                <w:lang w:val="et-EE"/>
              </w:rPr>
              <w:t>ik</w:t>
            </w:r>
          </w:p>
        </w:tc>
      </w:tr>
      <w:tr w:rsidR="001C205A" w:rsidRPr="0019398B" w14:paraId="17803912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563E8612" w14:textId="405B905A" w:rsidR="001C205A" w:rsidRPr="0019398B" w:rsidRDefault="00BE5D6B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Ametnik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3356" w14:textId="77777777" w:rsidR="001C205A" w:rsidRPr="0019398B" w:rsidRDefault="00DC6D26">
            <w:pPr>
              <w:pStyle w:val="Heading4"/>
            </w:pPr>
            <w:r>
              <w:t>Jaanus Ainso</w:t>
            </w:r>
          </w:p>
        </w:tc>
      </w:tr>
      <w:tr w:rsidR="001C205A" w:rsidRPr="0019398B" w14:paraId="355BEA34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2D1A1E50" w14:textId="77777777"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9B46F" w14:textId="77777777"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Otsetoetuste osakond</w:t>
            </w:r>
          </w:p>
        </w:tc>
      </w:tr>
      <w:tr w:rsidR="001C205A" w:rsidRPr="0019398B" w14:paraId="1CA96798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2234AB9A" w14:textId="77777777"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FD33" w14:textId="77777777"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 xml:space="preserve">Otsetoetuste osakonna juhataja </w:t>
            </w:r>
          </w:p>
        </w:tc>
      </w:tr>
      <w:tr w:rsidR="001C205A" w:rsidRPr="0019398B" w14:paraId="629CA10B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29F7F26F" w14:textId="77777777"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C595A" w14:textId="77777777"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Ei ole</w:t>
            </w:r>
          </w:p>
        </w:tc>
      </w:tr>
      <w:tr w:rsidR="001C205A" w:rsidRPr="0019398B" w14:paraId="296EC0E4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2DDB0A8C" w14:textId="77777777"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 xml:space="preserve">Esimene asendaja 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77BF" w14:textId="0B8B0A46" w:rsidR="001C205A" w:rsidRPr="0019398B" w:rsidRDefault="00C37195" w:rsidP="00C84029">
            <w:pPr>
              <w:rPr>
                <w:lang w:val="et-EE"/>
              </w:rPr>
            </w:pPr>
            <w:r>
              <w:rPr>
                <w:lang w:val="et-EE"/>
              </w:rPr>
              <w:t xml:space="preserve">Otsetoetuste osakonna </w:t>
            </w:r>
            <w:r w:rsidR="00C84029">
              <w:rPr>
                <w:lang w:val="et-EE"/>
              </w:rPr>
              <w:t>menetlusbüroo ärianalüütik</w:t>
            </w:r>
          </w:p>
        </w:tc>
      </w:tr>
      <w:tr w:rsidR="001C205A" w:rsidRPr="0019398B" w14:paraId="13530301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18EAB0E4" w14:textId="77777777"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C7EE" w14:textId="16AA5E2C" w:rsidR="001C205A" w:rsidRPr="0019398B" w:rsidRDefault="00C84029" w:rsidP="00D51739">
            <w:pPr>
              <w:rPr>
                <w:lang w:val="et-EE"/>
              </w:rPr>
            </w:pPr>
            <w:r>
              <w:rPr>
                <w:lang w:val="et-EE"/>
              </w:rPr>
              <w:t xml:space="preserve">Otsetoetuste osakonna </w:t>
            </w:r>
            <w:r w:rsidR="00D51739">
              <w:rPr>
                <w:lang w:val="et-EE"/>
              </w:rPr>
              <w:t>arendusnõunik</w:t>
            </w:r>
          </w:p>
        </w:tc>
      </w:tr>
      <w:tr w:rsidR="001C205A" w:rsidRPr="0019398B" w14:paraId="332D05E8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72A6F57B" w14:textId="77777777"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71C3" w14:textId="1B5C5C61" w:rsidR="001C205A" w:rsidRPr="0019398B" w:rsidRDefault="00C84029" w:rsidP="00DC6D26">
            <w:pPr>
              <w:rPr>
                <w:lang w:val="et-EE"/>
              </w:rPr>
            </w:pPr>
            <w:r>
              <w:rPr>
                <w:lang w:val="et-EE"/>
              </w:rPr>
              <w:t>Otsetoetuste osakonna menetlusbüroo ärianalüütik</w:t>
            </w:r>
            <w:r w:rsidR="00D51739">
              <w:rPr>
                <w:lang w:val="et-EE"/>
              </w:rPr>
              <w:t>, Otsetoetuste osakonna arendusnõunik</w:t>
            </w:r>
          </w:p>
        </w:tc>
      </w:tr>
      <w:tr w:rsidR="001C205A" w:rsidRPr="0019398B" w14:paraId="6CAD043F" w14:textId="77777777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14:paraId="6148545F" w14:textId="7A9021E3" w:rsidR="001C205A" w:rsidRPr="0019398B" w:rsidRDefault="00BE5D6B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Töökorralduse erikord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981B" w14:textId="0A3DAD44" w:rsidR="001C205A" w:rsidRPr="0019398B" w:rsidRDefault="00BE5D6B" w:rsidP="00344F4A">
            <w:pPr>
              <w:rPr>
                <w:lang w:val="et-EE"/>
              </w:rPr>
            </w:pPr>
            <w:r w:rsidRPr="00BE5D6B">
              <w:rPr>
                <w:lang w:val="et-EE"/>
              </w:rPr>
              <w:t xml:space="preserve">Kohaldub </w:t>
            </w:r>
          </w:p>
        </w:tc>
      </w:tr>
    </w:tbl>
    <w:p w14:paraId="4E402959" w14:textId="77777777" w:rsidR="005420F6" w:rsidRDefault="005420F6" w:rsidP="00BE5D6B">
      <w:pPr>
        <w:pStyle w:val="Heading3"/>
        <w:jc w:val="both"/>
      </w:pPr>
    </w:p>
    <w:p w14:paraId="43A88E10" w14:textId="62C48167" w:rsidR="00BE5D6B" w:rsidRDefault="005F53E2" w:rsidP="00BE5D6B">
      <w:pPr>
        <w:pStyle w:val="Heading3"/>
        <w:rPr>
          <w:lang w:eastAsia="en-US"/>
        </w:rPr>
      </w:pPr>
      <w:r>
        <w:t>AMETI</w:t>
      </w:r>
      <w:r w:rsidR="00BE5D6B">
        <w:t>KOHA EESMÄRK</w:t>
      </w:r>
    </w:p>
    <w:p w14:paraId="6C83FA4A" w14:textId="77777777" w:rsidR="00D939AF" w:rsidRDefault="00D939AF" w:rsidP="00D939AF">
      <w:pPr>
        <w:ind w:right="-154"/>
        <w:jc w:val="both"/>
        <w:rPr>
          <w:lang w:val="et-EE"/>
        </w:rPr>
      </w:pPr>
    </w:p>
    <w:p w14:paraId="1E25CB1E" w14:textId="77777777" w:rsidR="00D939AF" w:rsidRDefault="00D939AF" w:rsidP="00D939AF">
      <w:pPr>
        <w:ind w:right="-154"/>
        <w:jc w:val="both"/>
        <w:rPr>
          <w:lang w:val="et-EE"/>
        </w:rPr>
      </w:pPr>
    </w:p>
    <w:p w14:paraId="0C1C069B" w14:textId="1F950EC5" w:rsidR="001C205A" w:rsidRPr="008E5549" w:rsidRDefault="003A6C49" w:rsidP="00D939AF">
      <w:pPr>
        <w:ind w:right="-154"/>
        <w:jc w:val="both"/>
        <w:rPr>
          <w:lang w:val="et-EE"/>
        </w:rPr>
      </w:pPr>
      <w:r w:rsidRPr="008E5549">
        <w:rPr>
          <w:lang w:val="et-EE"/>
        </w:rPr>
        <w:t>Otsetoetuste osako</w:t>
      </w:r>
      <w:r w:rsidR="00D94332">
        <w:rPr>
          <w:lang w:val="et-EE"/>
        </w:rPr>
        <w:t>nna pinnaseire valdkonna ärianalüütiku</w:t>
      </w:r>
      <w:r w:rsidRPr="008E5549">
        <w:rPr>
          <w:lang w:val="et-EE"/>
        </w:rPr>
        <w:t xml:space="preserve"> töö eesmärgiks</w:t>
      </w:r>
      <w:r w:rsidR="00190F7B" w:rsidRPr="008E5549">
        <w:rPr>
          <w:lang w:val="et-EE"/>
        </w:rPr>
        <w:t xml:space="preserve"> on otsetoetuste osakonnas menetletavate</w:t>
      </w:r>
      <w:r w:rsidRPr="008E5549">
        <w:rPr>
          <w:lang w:val="et-EE"/>
        </w:rPr>
        <w:t xml:space="preserve"> toetuste (sh MAK meetmete) jaoks</w:t>
      </w:r>
      <w:r w:rsidR="00190F7B" w:rsidRPr="008E5549">
        <w:rPr>
          <w:lang w:val="et-EE"/>
        </w:rPr>
        <w:t xml:space="preserve"> </w:t>
      </w:r>
      <w:r w:rsidR="00206A5C">
        <w:rPr>
          <w:lang w:val="et-EE"/>
        </w:rPr>
        <w:t>p</w:t>
      </w:r>
      <w:r w:rsidR="00190F7B" w:rsidRPr="008E5549">
        <w:rPr>
          <w:lang w:val="et-EE"/>
        </w:rPr>
        <w:t xml:space="preserve">innaseire projektiga seotud </w:t>
      </w:r>
      <w:r w:rsidRPr="008E5549">
        <w:rPr>
          <w:lang w:val="et-EE"/>
        </w:rPr>
        <w:t xml:space="preserve">asukohamärgisega fotode rakenduse </w:t>
      </w:r>
      <w:r w:rsidR="00190F7B" w:rsidRPr="008E5549">
        <w:rPr>
          <w:lang w:val="et-EE"/>
        </w:rPr>
        <w:t>arendus</w:t>
      </w:r>
      <w:r w:rsidRPr="008E5549">
        <w:rPr>
          <w:lang w:val="et-EE"/>
        </w:rPr>
        <w:t xml:space="preserve">eks </w:t>
      </w:r>
      <w:r w:rsidR="00190F7B" w:rsidRPr="008E5549">
        <w:rPr>
          <w:lang w:val="et-EE"/>
        </w:rPr>
        <w:t>vajalike dokumentide ja analüüside õigeaegne ettevalmistus</w:t>
      </w:r>
      <w:r w:rsidR="001756E1">
        <w:rPr>
          <w:lang w:val="et-EE"/>
        </w:rPr>
        <w:t xml:space="preserve"> ja</w:t>
      </w:r>
      <w:r w:rsidR="001756E1" w:rsidRPr="001756E1">
        <w:rPr>
          <w:lang w:val="et-EE"/>
        </w:rPr>
        <w:t xml:space="preserve"> </w:t>
      </w:r>
      <w:r w:rsidR="001756E1" w:rsidRPr="008E5549">
        <w:rPr>
          <w:lang w:val="et-EE"/>
        </w:rPr>
        <w:t>ärianalüüsidega seotud arendustöö koordineerimine</w:t>
      </w:r>
      <w:r w:rsidR="00190F7B" w:rsidRPr="008E5549">
        <w:rPr>
          <w:lang w:val="et-EE"/>
        </w:rPr>
        <w:t xml:space="preserve">. </w:t>
      </w:r>
      <w:r w:rsidRPr="008E5549">
        <w:rPr>
          <w:lang w:val="et-EE"/>
        </w:rPr>
        <w:t>Samuti on</w:t>
      </w:r>
      <w:r w:rsidR="001C205A" w:rsidRPr="008E5549">
        <w:rPr>
          <w:lang w:val="et-EE"/>
        </w:rPr>
        <w:t xml:space="preserve"> </w:t>
      </w:r>
      <w:r w:rsidR="0097477B" w:rsidRPr="008E5549">
        <w:rPr>
          <w:lang w:val="et-EE"/>
        </w:rPr>
        <w:t xml:space="preserve">pinnaseire valdkonna </w:t>
      </w:r>
      <w:r w:rsidR="00D94332">
        <w:rPr>
          <w:lang w:val="et-EE"/>
        </w:rPr>
        <w:t>ärianalüütiku</w:t>
      </w:r>
      <w:r w:rsidRPr="008E5549">
        <w:rPr>
          <w:lang w:val="et-EE"/>
        </w:rPr>
        <w:t xml:space="preserve"> töö eesmärgiks </w:t>
      </w:r>
      <w:r w:rsidR="001C205A" w:rsidRPr="008E5549">
        <w:rPr>
          <w:lang w:val="et-EE"/>
        </w:rPr>
        <w:t>osaleda oma vastutusala</w:t>
      </w:r>
      <w:r w:rsidR="006C3805" w:rsidRPr="008E5549">
        <w:rPr>
          <w:lang w:val="et-EE"/>
        </w:rPr>
        <w:t xml:space="preserve"> piires </w:t>
      </w:r>
      <w:r w:rsidRPr="008E5549">
        <w:rPr>
          <w:lang w:val="et-EE"/>
        </w:rPr>
        <w:t xml:space="preserve">pinnaseiret puudutava </w:t>
      </w:r>
      <w:r w:rsidR="006C3805" w:rsidRPr="008E5549">
        <w:rPr>
          <w:bCs/>
          <w:lang w:val="et-EE"/>
        </w:rPr>
        <w:t xml:space="preserve">seadusandluse väljatöötamises, esindades </w:t>
      </w:r>
      <w:r w:rsidR="00E14624" w:rsidRPr="008E5549">
        <w:rPr>
          <w:color w:val="000000"/>
          <w:lang w:val="et-EE"/>
        </w:rPr>
        <w:t>Põllumajanduse Registrite ja Informatsiooni Ameti (edaspidi PRIA)</w:t>
      </w:r>
      <w:r w:rsidR="006C3805" w:rsidRPr="008E5549">
        <w:rPr>
          <w:bCs/>
          <w:lang w:val="et-EE"/>
        </w:rPr>
        <w:t xml:space="preserve"> seis</w:t>
      </w:r>
      <w:r w:rsidR="00016B00" w:rsidRPr="008E5549">
        <w:rPr>
          <w:bCs/>
          <w:lang w:val="et-EE"/>
        </w:rPr>
        <w:t>u</w:t>
      </w:r>
      <w:r w:rsidR="006C3805" w:rsidRPr="008E5549">
        <w:rPr>
          <w:bCs/>
          <w:lang w:val="et-EE"/>
        </w:rPr>
        <w:t>kohti Euroopa Liidu ja siseriiklike õigusaktide</w:t>
      </w:r>
      <w:r w:rsidR="000F0A93" w:rsidRPr="008E5549">
        <w:rPr>
          <w:bCs/>
          <w:lang w:val="et-EE"/>
        </w:rPr>
        <w:t xml:space="preserve"> koostamisel või muutmisel</w:t>
      </w:r>
      <w:r w:rsidR="001C205A" w:rsidRPr="008E5549">
        <w:rPr>
          <w:bCs/>
          <w:lang w:val="et-EE"/>
        </w:rPr>
        <w:t xml:space="preserve">, </w:t>
      </w:r>
      <w:r w:rsidR="006C3805" w:rsidRPr="008E5549">
        <w:rPr>
          <w:bCs/>
          <w:lang w:val="et-EE"/>
        </w:rPr>
        <w:t xml:space="preserve">valdkonda puudutava </w:t>
      </w:r>
      <w:r w:rsidR="001C205A" w:rsidRPr="008E5549">
        <w:rPr>
          <w:bCs/>
          <w:lang w:val="et-EE"/>
        </w:rPr>
        <w:t xml:space="preserve">info </w:t>
      </w:r>
      <w:r w:rsidR="001C205A" w:rsidRPr="008E5549">
        <w:rPr>
          <w:lang w:val="et-EE"/>
        </w:rPr>
        <w:t xml:space="preserve">tähtaegne ja kvaliteetne edastamine, </w:t>
      </w:r>
      <w:r w:rsidRPr="008E5549">
        <w:rPr>
          <w:lang w:val="et-EE"/>
        </w:rPr>
        <w:t>ning vajadusel pinnaseire valdkonna osas</w:t>
      </w:r>
      <w:r w:rsidR="001C205A" w:rsidRPr="008E5549">
        <w:rPr>
          <w:lang w:val="et-EE"/>
        </w:rPr>
        <w:t xml:space="preserve"> infovahetuse koordineerimine </w:t>
      </w:r>
      <w:r w:rsidR="000F0A93" w:rsidRPr="008E5549">
        <w:rPr>
          <w:lang w:val="et-EE"/>
        </w:rPr>
        <w:t xml:space="preserve">maaeluministeeriumi </w:t>
      </w:r>
      <w:r w:rsidR="001C205A" w:rsidRPr="008E5549">
        <w:rPr>
          <w:lang w:val="et-EE"/>
        </w:rPr>
        <w:t xml:space="preserve">ja teiste </w:t>
      </w:r>
      <w:r w:rsidR="000F0A93" w:rsidRPr="008E5549">
        <w:rPr>
          <w:lang w:val="et-EE"/>
        </w:rPr>
        <w:t xml:space="preserve">valdkonna </w:t>
      </w:r>
      <w:r w:rsidRPr="008E5549">
        <w:rPr>
          <w:lang w:val="et-EE"/>
        </w:rPr>
        <w:t>asutustega.</w:t>
      </w:r>
      <w:r w:rsidR="001C205A" w:rsidRPr="008E5549">
        <w:rPr>
          <w:lang w:val="et-EE"/>
        </w:rPr>
        <w:t xml:space="preserve"> </w:t>
      </w:r>
    </w:p>
    <w:p w14:paraId="7BEE1BFE" w14:textId="77777777" w:rsidR="00262600" w:rsidRPr="008E5549" w:rsidRDefault="00262600" w:rsidP="008E5549">
      <w:pPr>
        <w:pStyle w:val="Default"/>
        <w:jc w:val="both"/>
      </w:pPr>
    </w:p>
    <w:p w14:paraId="774D535C" w14:textId="77777777" w:rsidR="00D939AF" w:rsidRPr="0019398B" w:rsidRDefault="00D939AF">
      <w:pPr>
        <w:rPr>
          <w:lang w:val="et-EE"/>
        </w:rPr>
      </w:pPr>
    </w:p>
    <w:p w14:paraId="010DF39A" w14:textId="404B6213" w:rsidR="001C205A" w:rsidRPr="0019398B" w:rsidRDefault="00BE5D6B">
      <w:pPr>
        <w:pStyle w:val="Heading3"/>
      </w:pPr>
      <w:r>
        <w:t>PEAMISED T</w:t>
      </w:r>
      <w:r w:rsidR="005F53E2">
        <w:t>EENISTUS</w:t>
      </w:r>
      <w:r>
        <w:t>ÜLESAND</w:t>
      </w:r>
      <w:r w:rsidR="001C205A" w:rsidRPr="0019398B">
        <w:t>ED</w:t>
      </w:r>
    </w:p>
    <w:p w14:paraId="0F47123F" w14:textId="77777777" w:rsidR="001C205A" w:rsidRPr="0019398B" w:rsidRDefault="001C205A">
      <w:pPr>
        <w:rPr>
          <w:sz w:val="20"/>
          <w:lang w:val="et-EE"/>
        </w:rPr>
      </w:pPr>
    </w:p>
    <w:tbl>
      <w:tblPr>
        <w:tblW w:w="887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240"/>
        <w:gridCol w:w="5638"/>
      </w:tblGrid>
      <w:tr w:rsidR="001C205A" w:rsidRPr="0019398B" w14:paraId="42C61A33" w14:textId="77777777" w:rsidTr="001C12CB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93B050" w14:textId="6780FF1A" w:rsidR="001C205A" w:rsidRPr="0019398B" w:rsidRDefault="00184759" w:rsidP="00CF622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Ülesanne</w:t>
            </w:r>
          </w:p>
        </w:tc>
        <w:tc>
          <w:tcPr>
            <w:tcW w:w="5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BF99" w14:textId="2D3ED6A2" w:rsidR="001C205A" w:rsidRPr="0019398B" w:rsidRDefault="001C205A" w:rsidP="00CF622F">
            <w:pPr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</w:t>
            </w:r>
            <w:r w:rsidR="00CF622F">
              <w:rPr>
                <w:b/>
                <w:lang w:val="et-EE"/>
              </w:rPr>
              <w:t>ulemusmõõdik</w:t>
            </w:r>
          </w:p>
        </w:tc>
      </w:tr>
      <w:tr w:rsidR="001C205A" w:rsidRPr="0019398B" w14:paraId="3369BF69" w14:textId="77777777" w:rsidTr="001C12C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</w:tcPr>
          <w:p w14:paraId="44E7EEE8" w14:textId="77777777" w:rsidR="001C205A" w:rsidRPr="0019398B" w:rsidRDefault="008237F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Ühtset põllumajanduspoliitikat ning </w:t>
            </w:r>
            <w:r w:rsidR="00811B48">
              <w:rPr>
                <w:lang w:val="et-EE"/>
              </w:rPr>
              <w:t>pinnaseiret</w:t>
            </w:r>
            <w:r w:rsidR="00625164">
              <w:rPr>
                <w:lang w:val="et-EE"/>
              </w:rPr>
              <w:t xml:space="preserve"> </w:t>
            </w:r>
            <w:r w:rsidR="001C205A" w:rsidRPr="0019398B">
              <w:rPr>
                <w:lang w:val="et-EE"/>
              </w:rPr>
              <w:t xml:space="preserve">puudutavate õigusaktide </w:t>
            </w:r>
            <w:r w:rsidR="00E50440">
              <w:rPr>
                <w:lang w:val="et-EE"/>
              </w:rPr>
              <w:t xml:space="preserve">ning juhenddokumentide </w:t>
            </w:r>
            <w:r w:rsidR="001C205A" w:rsidRPr="0019398B">
              <w:rPr>
                <w:lang w:val="et-EE"/>
              </w:rPr>
              <w:t xml:space="preserve">tundmine </w:t>
            </w:r>
          </w:p>
          <w:p w14:paraId="10C50A4F" w14:textId="77777777" w:rsidR="001C205A" w:rsidRPr="0019398B" w:rsidRDefault="001C205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292BDF" w14:textId="77777777"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color w:val="000000"/>
                <w:lang w:val="et-EE"/>
              </w:rPr>
            </w:pPr>
            <w:r w:rsidRPr="0019398B">
              <w:rPr>
                <w:color w:val="000000"/>
                <w:lang w:val="et-EE"/>
              </w:rPr>
              <w:t xml:space="preserve">Teenistuja teab </w:t>
            </w:r>
            <w:r w:rsidR="00811B48">
              <w:rPr>
                <w:color w:val="000000"/>
                <w:lang w:val="et-EE"/>
              </w:rPr>
              <w:t xml:space="preserve">pinnaseirega seotud </w:t>
            </w:r>
            <w:r w:rsidRPr="0019398B">
              <w:rPr>
                <w:color w:val="000000"/>
                <w:lang w:val="et-EE"/>
              </w:rPr>
              <w:t xml:space="preserve">kõiki nii Eesti Vabariigi kui Euroopa Liidu </w:t>
            </w:r>
            <w:r w:rsidR="00E50440">
              <w:rPr>
                <w:color w:val="000000"/>
                <w:lang w:val="et-EE"/>
              </w:rPr>
              <w:t xml:space="preserve">ühtset põllumajanduspoliitikat reguleerivaid </w:t>
            </w:r>
            <w:r w:rsidRPr="0019398B">
              <w:rPr>
                <w:color w:val="000000"/>
                <w:lang w:val="et-EE"/>
              </w:rPr>
              <w:t xml:space="preserve">seadusandlikke akte </w:t>
            </w:r>
            <w:r w:rsidR="00E50440">
              <w:rPr>
                <w:color w:val="000000"/>
                <w:lang w:val="et-EE"/>
              </w:rPr>
              <w:t xml:space="preserve">ja juhenddokumente </w:t>
            </w:r>
            <w:r w:rsidRPr="0019398B">
              <w:rPr>
                <w:color w:val="000000"/>
                <w:lang w:val="et-EE"/>
              </w:rPr>
              <w:t>ning orienteerub nende sisus</w:t>
            </w:r>
          </w:p>
          <w:p w14:paraId="30850C8A" w14:textId="77777777"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Teenistuja on kursis ettevalmistamisel olevate seaduseelnõudega</w:t>
            </w:r>
          </w:p>
          <w:p w14:paraId="7B3ECDCA" w14:textId="77777777"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color w:val="000000"/>
                <w:lang w:val="et-EE"/>
              </w:rPr>
            </w:pPr>
            <w:r w:rsidRPr="0019398B">
              <w:rPr>
                <w:color w:val="000000"/>
                <w:lang w:val="et-EE"/>
              </w:rPr>
              <w:t>Teenistuja leiab vajadusel operatiivselt tööks vajalikud seadusaktid või nende alalõigud</w:t>
            </w:r>
          </w:p>
        </w:tc>
      </w:tr>
      <w:tr w:rsidR="001C205A" w:rsidRPr="0019398B" w14:paraId="229EE25E" w14:textId="77777777" w:rsidTr="001C12CB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E0F0E3" w14:textId="68DE02E1" w:rsidR="001C205A" w:rsidRPr="0019398B" w:rsidRDefault="001C205A" w:rsidP="00127492">
            <w:pPr>
              <w:tabs>
                <w:tab w:val="left" w:pos="360"/>
              </w:tabs>
              <w:rPr>
                <w:lang w:val="et-EE"/>
              </w:rPr>
            </w:pPr>
            <w:r w:rsidRPr="0019398B">
              <w:rPr>
                <w:lang w:val="et-EE"/>
              </w:rPr>
              <w:lastRenderedPageBreak/>
              <w:t xml:space="preserve">Osalemine </w:t>
            </w:r>
            <w:r w:rsidR="00127492">
              <w:rPr>
                <w:lang w:val="et-EE"/>
              </w:rPr>
              <w:t xml:space="preserve">ÜPP </w:t>
            </w:r>
            <w:r w:rsidR="00BD13C8">
              <w:rPr>
                <w:lang w:val="et-EE"/>
              </w:rPr>
              <w:t xml:space="preserve">komitees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863B30" w14:textId="77777777"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>on töötanud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eelnevalt läbi päevakorras olevad määruste muudatusettepanekud</w:t>
            </w:r>
            <w:r w:rsidR="00F903FC">
              <w:rPr>
                <w:lang w:val="et-EE"/>
              </w:rPr>
              <w:t xml:space="preserve">, </w:t>
            </w:r>
            <w:r w:rsidR="00F40233">
              <w:rPr>
                <w:lang w:val="et-EE"/>
              </w:rPr>
              <w:t xml:space="preserve">analüüsinud </w:t>
            </w:r>
            <w:r w:rsidR="00585461">
              <w:rPr>
                <w:lang w:val="et-EE"/>
              </w:rPr>
              <w:t xml:space="preserve">nende </w:t>
            </w:r>
            <w:r w:rsidR="00F903FC">
              <w:rPr>
                <w:lang w:val="et-EE"/>
              </w:rPr>
              <w:t xml:space="preserve">rakendatavust </w:t>
            </w:r>
            <w:r w:rsidRPr="0019398B">
              <w:rPr>
                <w:lang w:val="et-EE"/>
              </w:rPr>
              <w:t xml:space="preserve">ja </w:t>
            </w:r>
            <w:r w:rsidR="001E20B2">
              <w:rPr>
                <w:lang w:val="et-EE"/>
              </w:rPr>
              <w:t xml:space="preserve">selle alusel </w:t>
            </w:r>
            <w:r w:rsidR="00F40233">
              <w:rPr>
                <w:lang w:val="et-EE"/>
              </w:rPr>
              <w:t xml:space="preserve">kujundanud </w:t>
            </w:r>
            <w:r w:rsidR="00585461">
              <w:rPr>
                <w:lang w:val="et-EE"/>
              </w:rPr>
              <w:t xml:space="preserve">PRIA </w:t>
            </w:r>
            <w:r w:rsidR="001E20B2">
              <w:rPr>
                <w:lang w:val="et-EE"/>
              </w:rPr>
              <w:t xml:space="preserve">seisukoha </w:t>
            </w:r>
            <w:r w:rsidRPr="0019398B">
              <w:rPr>
                <w:lang w:val="et-EE"/>
              </w:rPr>
              <w:t xml:space="preserve">vastavalt </w:t>
            </w:r>
            <w:proofErr w:type="spellStart"/>
            <w:r w:rsidRPr="0019398B">
              <w:rPr>
                <w:lang w:val="et-EE"/>
              </w:rPr>
              <w:t>komitoloogia</w:t>
            </w:r>
            <w:proofErr w:type="spellEnd"/>
            <w:r w:rsidRPr="0019398B">
              <w:rPr>
                <w:lang w:val="et-EE"/>
              </w:rPr>
              <w:t xml:space="preserve"> protseduurile</w:t>
            </w:r>
          </w:p>
          <w:p w14:paraId="12996AB2" w14:textId="77777777" w:rsidR="001C205A" w:rsidRPr="0019398B" w:rsidRDefault="001C205A" w:rsidP="000F0A93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>on osalenud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 xml:space="preserve">osakonna vastutusala puudutavates komiteedes või </w:t>
            </w:r>
            <w:r w:rsidR="00F40233" w:rsidRPr="0019398B">
              <w:rPr>
                <w:lang w:val="et-EE"/>
              </w:rPr>
              <w:t>korralda</w:t>
            </w:r>
            <w:r w:rsidR="00F40233">
              <w:rPr>
                <w:lang w:val="et-EE"/>
              </w:rPr>
              <w:t>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komitees osalemise</w:t>
            </w:r>
            <w:r w:rsidR="001E20B2">
              <w:rPr>
                <w:lang w:val="et-EE"/>
              </w:rPr>
              <w:t xml:space="preserve"> ning </w:t>
            </w:r>
            <w:r w:rsidR="00F40233">
              <w:rPr>
                <w:lang w:val="et-EE"/>
              </w:rPr>
              <w:t xml:space="preserve">kaitsnud </w:t>
            </w:r>
            <w:r w:rsidR="001E20B2">
              <w:rPr>
                <w:lang w:val="et-EE"/>
              </w:rPr>
              <w:t xml:space="preserve">PRIA seiskohti, mis on eelnevalt kooskõlastatud </w:t>
            </w:r>
            <w:r w:rsidR="000F0A93">
              <w:rPr>
                <w:lang w:val="et-EE"/>
              </w:rPr>
              <w:t xml:space="preserve">maaeluministeeriumiga </w:t>
            </w:r>
          </w:p>
        </w:tc>
      </w:tr>
      <w:tr w:rsidR="001C205A" w:rsidRPr="0019398B" w14:paraId="2E1785D5" w14:textId="77777777" w:rsidTr="001C12CB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5EF05D" w14:textId="77777777" w:rsidR="001C205A" w:rsidRPr="00FD5E4A" w:rsidRDefault="00620C2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D5E4A">
              <w:rPr>
                <w:lang w:val="et-EE"/>
              </w:rPr>
              <w:t>Pinnaseire projektiga seotud ärianalüüside koostamine ja arendustöös osalemine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37ECD1" w14:textId="77777777" w:rsidR="001C205A" w:rsidRPr="0019398B" w:rsidRDefault="001C205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19398B">
              <w:rPr>
                <w:lang w:val="et-EE"/>
              </w:rPr>
              <w:t xml:space="preserve">Oma vastutusala piires </w:t>
            </w:r>
            <w:r w:rsidR="00F40233">
              <w:rPr>
                <w:lang w:val="et-EE"/>
              </w:rPr>
              <w:t>on osaletud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siseriikliku seadusandluse ja toetuste menetlusprotseduuride väljatöötamises</w:t>
            </w:r>
          </w:p>
          <w:p w14:paraId="4184B6E9" w14:textId="77777777" w:rsidR="00620C24" w:rsidRPr="00620C24" w:rsidRDefault="00620C24" w:rsidP="00620C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620C24">
              <w:rPr>
                <w:lang w:val="et-EE"/>
              </w:rPr>
              <w:t xml:space="preserve">Teenistuja osaleb tööprotsesside kokkuleppimises </w:t>
            </w:r>
          </w:p>
          <w:p w14:paraId="1B69F033" w14:textId="216ECA4E" w:rsidR="00620C24" w:rsidRPr="00620C24" w:rsidRDefault="00620C24" w:rsidP="00620C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620C24">
              <w:rPr>
                <w:lang w:val="et-EE"/>
              </w:rPr>
              <w:t>Lähteülesannete/analüüside/ärinõuete ning täienduste/paranduste kirjapanek on koordineeritud</w:t>
            </w:r>
          </w:p>
          <w:p w14:paraId="4A30890D" w14:textId="77777777" w:rsidR="00620C24" w:rsidRPr="00620C24" w:rsidRDefault="00620C24" w:rsidP="00620C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620C24">
              <w:rPr>
                <w:lang w:val="et-EE"/>
              </w:rPr>
              <w:t>Lähteülesanded/analüüsid/ärinõuded ja täienduste/paranduste kirjeldused on õigeaegselt edastatud otsetoetuste osakonna arendusnõunikule, analüütikule (IT) või arendajale, lähtudes tööplaanist ja otsetoetuste osakonna arendusnõunikuga kokku lepitud prioriteetidest</w:t>
            </w:r>
          </w:p>
          <w:p w14:paraId="43069E3A" w14:textId="6CF8F38C" w:rsidR="00620C24" w:rsidRPr="00620C24" w:rsidRDefault="00620C24" w:rsidP="00620C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620C24">
              <w:rPr>
                <w:lang w:val="et-EE"/>
              </w:rPr>
              <w:t xml:space="preserve">Koostöös osakonna </w:t>
            </w:r>
            <w:r w:rsidR="007B1A59">
              <w:rPr>
                <w:lang w:val="et-EE"/>
              </w:rPr>
              <w:t xml:space="preserve">büroojuhatajate ja </w:t>
            </w:r>
            <w:r w:rsidRPr="00620C24">
              <w:rPr>
                <w:lang w:val="et-EE"/>
              </w:rPr>
              <w:t xml:space="preserve">juhtivspetsialistidega on programmi täienduste/paranduste testimisega seotud tööülesanded jaotatud teenistujatele </w:t>
            </w:r>
          </w:p>
          <w:p w14:paraId="6FF0DD20" w14:textId="77777777" w:rsidR="00620C24" w:rsidRPr="00620C24" w:rsidRDefault="00620C24" w:rsidP="00620C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620C24">
              <w:rPr>
                <w:lang w:val="et-EE"/>
              </w:rPr>
              <w:t>Arendamisega seotud probleemide esinemisel, mille lahendamine ei ole teenistuja pädevuses, on otsetoetuste osakonna arendusnõunik ja otsetoetuste osakonna juhataja operatiivselt informeeritud</w:t>
            </w:r>
          </w:p>
          <w:p w14:paraId="06600E76" w14:textId="36BD70E4" w:rsidR="00C55DC8" w:rsidRPr="00620C24" w:rsidRDefault="00620C24" w:rsidP="00620C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620C24">
              <w:rPr>
                <w:lang w:val="et-EE"/>
              </w:rPr>
              <w:t>Teenistujad on varustatud neile tööks vajaliku informatsiooniga, mis on seotud pinnaseire projekti arendusega</w:t>
            </w:r>
            <w:r w:rsidR="00CA7B30">
              <w:rPr>
                <w:lang w:val="et-EE"/>
              </w:rPr>
              <w:t>.</w:t>
            </w:r>
          </w:p>
        </w:tc>
      </w:tr>
      <w:tr w:rsidR="00CA7B30" w:rsidRPr="0019398B" w14:paraId="0DD6EC92" w14:textId="77777777" w:rsidTr="001C12CB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B6CD25B" w14:textId="7A443852" w:rsidR="00CA7B30" w:rsidRPr="00CA7B30" w:rsidRDefault="00CA7B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A7B30">
              <w:rPr>
                <w:lang w:val="et-EE"/>
              </w:rPr>
              <w:t>Tööplaanide koostamisel osalemine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86B678" w14:textId="38520DCE" w:rsidR="00CA7B30" w:rsidRPr="00CA7B30" w:rsidRDefault="00CA7B30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CA7B30">
              <w:rPr>
                <w:lang w:val="et-EE"/>
              </w:rPr>
              <w:t>Tööplaanid on koostatud ning täiendatud tähtaegselt</w:t>
            </w:r>
          </w:p>
          <w:p w14:paraId="58CEBA89" w14:textId="3EE87CC4" w:rsidR="00CA7B30" w:rsidRPr="00CA7B30" w:rsidRDefault="00CA7B30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CA7B30">
              <w:rPr>
                <w:lang w:val="et-EE"/>
              </w:rPr>
              <w:t>Arendustöö on korraldatud vastavalt kokkulepitud tööplaanidele.</w:t>
            </w:r>
          </w:p>
        </w:tc>
      </w:tr>
      <w:tr w:rsidR="001C205A" w:rsidRPr="0019398B" w14:paraId="512E09A2" w14:textId="77777777" w:rsidTr="00D939A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5776025C" w14:textId="0BA4F0DA" w:rsidR="001C205A" w:rsidRPr="008E5EDF" w:rsidRDefault="00C02B29">
            <w:pPr>
              <w:rPr>
                <w:lang w:val="et-EE"/>
              </w:rPr>
            </w:pPr>
            <w:r w:rsidRPr="008E5ED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30064F6" w14:textId="516761BB" w:rsidR="001C205A" w:rsidRPr="008E5EDF" w:rsidRDefault="00C02B2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8E5EDF"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  <w:tr w:rsidR="001C205A" w:rsidRPr="0019398B" w14:paraId="2CE6663E" w14:textId="77777777" w:rsidTr="00D939AF">
        <w:trPr>
          <w:cantSplit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DCA3E7" w14:textId="77777777"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Infovahetuse korraldamine organisatsioonis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88D711" w14:textId="5CCE7D42"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Vajalik info jõuab operatiivselt kõikide </w:t>
            </w:r>
            <w:r w:rsidR="00184759">
              <w:rPr>
                <w:lang w:val="et-EE"/>
              </w:rPr>
              <w:t xml:space="preserve">õigustatud </w:t>
            </w:r>
            <w:r w:rsidRPr="0019398B">
              <w:rPr>
                <w:lang w:val="et-EE"/>
              </w:rPr>
              <w:t>osapoolteni</w:t>
            </w:r>
          </w:p>
          <w:p w14:paraId="2AAF94A6" w14:textId="41A7DF0C" w:rsidR="00C02B29" w:rsidRPr="00B6696A" w:rsidRDefault="00C02B29" w:rsidP="00C02B29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>
              <w:rPr>
                <w:lang w:val="et-EE"/>
              </w:rPr>
              <w:t xml:space="preserve">on </w:t>
            </w:r>
            <w:r w:rsidRPr="0019398B">
              <w:rPr>
                <w:lang w:val="et-EE"/>
              </w:rPr>
              <w:t>koordineeri</w:t>
            </w:r>
            <w:r>
              <w:rPr>
                <w:lang w:val="et-EE"/>
              </w:rPr>
              <w:t>nud</w:t>
            </w:r>
            <w:r w:rsidRPr="0019398B">
              <w:rPr>
                <w:lang w:val="et-EE"/>
              </w:rPr>
              <w:t xml:space="preserve"> </w:t>
            </w:r>
            <w:r w:rsidR="001726FE">
              <w:rPr>
                <w:lang w:val="et-EE"/>
              </w:rPr>
              <w:t>pinnaseiret</w:t>
            </w:r>
            <w:r w:rsidRPr="0019398B">
              <w:rPr>
                <w:lang w:val="et-EE"/>
              </w:rPr>
              <w:t xml:space="preserve"> puudutavate küsimuste, seadusandlust puudutavate uuenduste ja paranduste suunamis</w:t>
            </w:r>
            <w:r>
              <w:rPr>
                <w:lang w:val="et-EE"/>
              </w:rPr>
              <w:t>t maaelu</w:t>
            </w:r>
            <w:r w:rsidRPr="0019398B">
              <w:rPr>
                <w:lang w:val="et-EE"/>
              </w:rPr>
              <w:t xml:space="preserve">ministeeriumisse ja teistesse asutustesse või komisjoni esindajatele  </w:t>
            </w:r>
          </w:p>
        </w:tc>
      </w:tr>
    </w:tbl>
    <w:p w14:paraId="042C026E" w14:textId="77777777" w:rsidR="001C205A" w:rsidRPr="0019398B" w:rsidRDefault="001C205A">
      <w:pPr>
        <w:pStyle w:val="WW-CommentText"/>
        <w:rPr>
          <w:szCs w:val="24"/>
          <w:lang w:val="et-EE"/>
        </w:rPr>
      </w:pPr>
    </w:p>
    <w:p w14:paraId="5E86070A" w14:textId="77777777" w:rsidR="005F53E2" w:rsidRDefault="005F53E2" w:rsidP="005F53E2">
      <w:pPr>
        <w:pStyle w:val="Heading1"/>
        <w:rPr>
          <w:sz w:val="28"/>
        </w:rPr>
      </w:pPr>
    </w:p>
    <w:p w14:paraId="6024ADB1" w14:textId="77777777" w:rsidR="00B6696A" w:rsidRPr="00B6696A" w:rsidRDefault="00B6696A" w:rsidP="00B6696A">
      <w:pPr>
        <w:rPr>
          <w:lang w:val="et-EE"/>
        </w:rPr>
      </w:pPr>
      <w:bookmarkStart w:id="0" w:name="_GoBack"/>
      <w:bookmarkEnd w:id="0"/>
    </w:p>
    <w:p w14:paraId="5AC77A69" w14:textId="77777777" w:rsidR="00184759" w:rsidRPr="00184759" w:rsidRDefault="00184759" w:rsidP="00184759">
      <w:pPr>
        <w:rPr>
          <w:lang w:val="et-EE"/>
        </w:rPr>
      </w:pPr>
    </w:p>
    <w:p w14:paraId="56C8F927" w14:textId="77777777" w:rsidR="005F53E2" w:rsidRPr="0082407D" w:rsidRDefault="005F53E2" w:rsidP="005F53E2">
      <w:pPr>
        <w:pStyle w:val="Heading1"/>
        <w:rPr>
          <w:sz w:val="28"/>
        </w:rPr>
      </w:pPr>
      <w:r w:rsidRPr="0082407D">
        <w:rPr>
          <w:sz w:val="28"/>
        </w:rPr>
        <w:lastRenderedPageBreak/>
        <w:t>TÖÖKORRALDUSE ERIKORD</w:t>
      </w:r>
    </w:p>
    <w:p w14:paraId="770B23EF" w14:textId="77777777" w:rsidR="005F53E2" w:rsidRPr="0082407D" w:rsidRDefault="005F53E2" w:rsidP="005F53E2"/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84759" w:rsidRPr="00184759" w14:paraId="0499B201" w14:textId="77777777" w:rsidTr="005F53E2">
        <w:tc>
          <w:tcPr>
            <w:tcW w:w="9073" w:type="dxa"/>
          </w:tcPr>
          <w:p w14:paraId="016E6EB4" w14:textId="6CEE37AF" w:rsidR="005F53E2" w:rsidRPr="00184759" w:rsidRDefault="00D94332" w:rsidP="00D94332">
            <w:pPr>
              <w:pStyle w:val="BodyText"/>
            </w:pPr>
            <w:r w:rsidRPr="00184759">
              <w:t>Ärianalüütikule</w:t>
            </w:r>
            <w:r w:rsidR="005F53E2" w:rsidRPr="00184759">
              <w:t xml:space="preserve"> on õigus anda ülesandeid </w:t>
            </w:r>
            <w:r w:rsidRPr="00184759">
              <w:t>Pinnaseire projektijuhil kooskõlastatult otsetoetuste osakonna juhatajaga.</w:t>
            </w:r>
            <w:r w:rsidR="005F53E2" w:rsidRPr="00184759">
              <w:t xml:space="preserve"> </w:t>
            </w:r>
          </w:p>
        </w:tc>
      </w:tr>
    </w:tbl>
    <w:p w14:paraId="174E9633" w14:textId="77777777" w:rsidR="005F53E2" w:rsidRPr="00184759" w:rsidRDefault="005F53E2" w:rsidP="005F53E2"/>
    <w:p w14:paraId="10ADA2AA" w14:textId="77777777"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14:paraId="70461E9C" w14:textId="3CE44093" w:rsidR="001C205A" w:rsidRPr="0019398B" w:rsidRDefault="00CF622F">
      <w:pPr>
        <w:pStyle w:val="Heading3"/>
        <w:tabs>
          <w:tab w:val="left" w:pos="360"/>
        </w:tabs>
      </w:pPr>
      <w:r>
        <w:t xml:space="preserve">AMETIKOHA </w:t>
      </w:r>
      <w:r w:rsidR="001C205A" w:rsidRPr="0019398B">
        <w:t>KVALIFIKATSIOONINÕUDED</w:t>
      </w:r>
    </w:p>
    <w:p w14:paraId="4D11321E" w14:textId="77777777"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9005" w:type="dxa"/>
        <w:tblInd w:w="-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5"/>
        <w:gridCol w:w="4820"/>
      </w:tblGrid>
      <w:tr w:rsidR="00184759" w:rsidRPr="0019398B" w14:paraId="092B5BD5" w14:textId="77777777" w:rsidTr="00184759">
        <w:trPr>
          <w:cantSplit/>
        </w:trPr>
        <w:tc>
          <w:tcPr>
            <w:tcW w:w="4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18F25" w14:textId="3AC545E1" w:rsidR="00184759" w:rsidRPr="0019398B" w:rsidRDefault="00184759">
            <w:pPr>
              <w:tabs>
                <w:tab w:val="left" w:pos="360"/>
              </w:tabs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Haridus,</w:t>
            </w:r>
            <w:r>
              <w:rPr>
                <w:b/>
                <w:lang w:val="et-EE"/>
              </w:rPr>
              <w:t xml:space="preserve"> </w:t>
            </w:r>
            <w:r w:rsidRPr="0019398B">
              <w:rPr>
                <w:b/>
                <w:lang w:val="et-EE"/>
              </w:rPr>
              <w:t>eriala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D8265" w14:textId="008B1783" w:rsidR="00184759" w:rsidRPr="00184759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>kutse-, keskeri- või kõrgharidus</w:t>
            </w:r>
          </w:p>
        </w:tc>
      </w:tr>
      <w:tr w:rsidR="00184759" w:rsidRPr="0019398B" w14:paraId="7B16279B" w14:textId="77777777" w:rsidTr="00184759">
        <w:trPr>
          <w:cantSplit/>
        </w:trPr>
        <w:tc>
          <w:tcPr>
            <w:tcW w:w="41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E9EF238" w14:textId="6FC1C829" w:rsidR="00184759" w:rsidRPr="0019398B" w:rsidRDefault="00184759">
            <w:pPr>
              <w:tabs>
                <w:tab w:val="left" w:pos="360"/>
              </w:tabs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Töökogemus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2BF130D" w14:textId="1A44EF31" w:rsidR="00184759" w:rsidRPr="00184759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>Põllumajanduspoliitika valdkonnas töötamine</w:t>
            </w:r>
          </w:p>
        </w:tc>
      </w:tr>
      <w:tr w:rsidR="00184759" w:rsidRPr="0019398B" w14:paraId="109E0A4C" w14:textId="77777777" w:rsidTr="00184759">
        <w:trPr>
          <w:cantSplit/>
        </w:trPr>
        <w:tc>
          <w:tcPr>
            <w:tcW w:w="4185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5F6EB0DA" w14:textId="60DCE883" w:rsidR="00184759" w:rsidRPr="0019398B" w:rsidRDefault="00184759" w:rsidP="005F53E2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 xml:space="preserve">Teadmised, </w:t>
            </w:r>
            <w:r>
              <w:rPr>
                <w:b/>
                <w:lang w:val="et-EE"/>
              </w:rPr>
              <w:t>osk</w:t>
            </w:r>
            <w:r w:rsidRPr="0019398B">
              <w:rPr>
                <w:b/>
                <w:lang w:val="et-EE"/>
              </w:rPr>
              <w:t>used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83770F" w14:textId="77777777" w:rsidR="00184759" w:rsidRPr="00184759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 xml:space="preserve">Eesti keele väga hea oskus kõnes ja kirjas </w:t>
            </w:r>
          </w:p>
          <w:p w14:paraId="327B4873" w14:textId="77777777" w:rsidR="00184759" w:rsidRPr="00184759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>Inglise keele hea oskus kõnes ja kirjas</w:t>
            </w:r>
          </w:p>
          <w:p w14:paraId="707A398F" w14:textId="77777777" w:rsidR="00184759" w:rsidRPr="00184759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>Taustateadmised põllumajandusest</w:t>
            </w:r>
          </w:p>
          <w:p w14:paraId="1BFF0A0E" w14:textId="77777777" w:rsidR="00184759" w:rsidRPr="00184759" w:rsidRDefault="00184759" w:rsidP="005F53E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 xml:space="preserve">Arvutioskus (MS Office </w:t>
            </w:r>
            <w:proofErr w:type="spellStart"/>
            <w:r w:rsidRPr="00184759">
              <w:rPr>
                <w:lang w:val="et-EE"/>
              </w:rPr>
              <w:t>kesktase</w:t>
            </w:r>
            <w:proofErr w:type="spellEnd"/>
            <w:r w:rsidRPr="00184759">
              <w:rPr>
                <w:lang w:val="et-EE"/>
              </w:rPr>
              <w:t>, Internet)</w:t>
            </w:r>
          </w:p>
          <w:p w14:paraId="22316C2B" w14:textId="77777777" w:rsidR="00184759" w:rsidRPr="00184759" w:rsidRDefault="00184759" w:rsidP="005F53E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>Hea suhtlemis- ja mõjutamisoskus</w:t>
            </w:r>
          </w:p>
          <w:p w14:paraId="3E9740FD" w14:textId="5D0F601F" w:rsidR="00184759" w:rsidRPr="00184759" w:rsidRDefault="00184759" w:rsidP="005F53E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84759">
              <w:rPr>
                <w:lang w:val="et-EE"/>
              </w:rPr>
              <w:t>B-kategooria juhiluba</w:t>
            </w:r>
          </w:p>
        </w:tc>
      </w:tr>
      <w:tr w:rsidR="00184759" w:rsidRPr="0019398B" w14:paraId="6EFA2345" w14:textId="77777777" w:rsidTr="00184759">
        <w:trPr>
          <w:cantSplit/>
        </w:trPr>
        <w:tc>
          <w:tcPr>
            <w:tcW w:w="4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FDE2076" w14:textId="77777777" w:rsidR="00184759" w:rsidRPr="0019398B" w:rsidRDefault="00184759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Omadused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9043C2" w14:textId="77777777" w:rsidR="00184759" w:rsidRPr="0019398B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Korrektsus ja täpsus</w:t>
            </w:r>
          </w:p>
          <w:p w14:paraId="34842ABD" w14:textId="77777777" w:rsidR="00184759" w:rsidRPr="0019398B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Analüüsi- ja üldistamisvõime</w:t>
            </w:r>
          </w:p>
          <w:p w14:paraId="4D687684" w14:textId="77777777" w:rsidR="00184759" w:rsidRPr="0019398B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Koostööoskus</w:t>
            </w:r>
          </w:p>
          <w:p w14:paraId="3B978856" w14:textId="77777777" w:rsidR="00184759" w:rsidRPr="0019398B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Initsiatiivikus</w:t>
            </w:r>
          </w:p>
          <w:p w14:paraId="3F5611AD" w14:textId="77777777" w:rsidR="00184759" w:rsidRPr="0019398B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Eneseväljendusoskus kõnes ja kirjas </w:t>
            </w:r>
          </w:p>
          <w:p w14:paraId="63F0E9CB" w14:textId="77777777" w:rsidR="00184759" w:rsidRPr="0019398B" w:rsidRDefault="0018475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Hea stressitaluvus</w:t>
            </w:r>
          </w:p>
        </w:tc>
      </w:tr>
    </w:tbl>
    <w:p w14:paraId="0D2804AE" w14:textId="77777777" w:rsidR="001C205A" w:rsidRPr="0019398B" w:rsidRDefault="001C205A">
      <w:pPr>
        <w:rPr>
          <w:lang w:val="et-EE"/>
        </w:rPr>
      </w:pPr>
    </w:p>
    <w:p w14:paraId="53484F5E" w14:textId="413359B4" w:rsidR="004052FB" w:rsidRPr="00D939AF" w:rsidRDefault="00D939AF" w:rsidP="005420F6">
      <w:pPr>
        <w:spacing w:line="360" w:lineRule="auto"/>
        <w:ind w:left="-180" w:right="-154"/>
        <w:rPr>
          <w:b/>
          <w:bCs/>
          <w:lang w:val="et-EE"/>
        </w:rPr>
      </w:pPr>
      <w:r>
        <w:rPr>
          <w:b/>
          <w:bCs/>
          <w:lang w:val="et-EE"/>
        </w:rPr>
        <w:t xml:space="preserve">Ametijuhend </w:t>
      </w:r>
      <w:r w:rsidR="00D1630B" w:rsidRPr="00D939AF">
        <w:rPr>
          <w:b/>
          <w:bCs/>
          <w:lang w:val="et-EE"/>
        </w:rPr>
        <w:t>kehti</w:t>
      </w:r>
      <w:r w:rsidRPr="00D939AF">
        <w:rPr>
          <w:b/>
          <w:bCs/>
          <w:lang w:val="et-EE"/>
        </w:rPr>
        <w:t>b tagasiulatuvalt</w:t>
      </w:r>
      <w:r w:rsidR="00D1630B" w:rsidRPr="00D939AF">
        <w:rPr>
          <w:b/>
          <w:bCs/>
          <w:lang w:val="et-EE"/>
        </w:rPr>
        <w:t xml:space="preserve"> alates </w:t>
      </w:r>
      <w:r w:rsidRPr="00D939AF">
        <w:rPr>
          <w:b/>
          <w:bCs/>
          <w:lang w:val="et-EE"/>
        </w:rPr>
        <w:t>0</w:t>
      </w:r>
      <w:r w:rsidR="00D1630B" w:rsidRPr="00D939AF">
        <w:rPr>
          <w:b/>
          <w:bCs/>
          <w:lang w:val="et-EE"/>
        </w:rPr>
        <w:t>1.0</w:t>
      </w:r>
      <w:r w:rsidR="005F53E2">
        <w:rPr>
          <w:b/>
          <w:bCs/>
          <w:lang w:val="et-EE"/>
        </w:rPr>
        <w:t>1</w:t>
      </w:r>
      <w:r w:rsidR="00D1630B" w:rsidRPr="00D939AF">
        <w:rPr>
          <w:b/>
          <w:bCs/>
          <w:lang w:val="et-EE"/>
        </w:rPr>
        <w:t>.202</w:t>
      </w:r>
      <w:r w:rsidR="005F53E2">
        <w:rPr>
          <w:b/>
          <w:bCs/>
          <w:lang w:val="et-EE"/>
        </w:rPr>
        <w:t>3</w:t>
      </w:r>
    </w:p>
    <w:p w14:paraId="1AF211D0" w14:textId="77777777" w:rsidR="00D1630B" w:rsidRDefault="00D1630B" w:rsidP="005420F6">
      <w:pPr>
        <w:spacing w:line="360" w:lineRule="auto"/>
        <w:ind w:left="-180" w:right="-154"/>
        <w:rPr>
          <w:b/>
          <w:bCs/>
          <w:lang w:val="et-EE"/>
        </w:rPr>
      </w:pPr>
    </w:p>
    <w:p w14:paraId="18199FEB" w14:textId="77777777" w:rsidR="001C205A" w:rsidRPr="0019398B" w:rsidRDefault="001C205A" w:rsidP="005420F6">
      <w:pPr>
        <w:spacing w:line="360" w:lineRule="auto"/>
        <w:ind w:left="-180" w:right="-154"/>
        <w:rPr>
          <w:lang w:val="et-EE"/>
        </w:rPr>
      </w:pPr>
      <w:r w:rsidRPr="0019398B">
        <w:rPr>
          <w:b/>
          <w:bCs/>
          <w:lang w:val="et-EE"/>
        </w:rPr>
        <w:t>TÖÖANDJA ESINDAJA</w:t>
      </w:r>
      <w:r w:rsidRPr="0019398B">
        <w:rPr>
          <w:lang w:val="et-EE"/>
        </w:rPr>
        <w:t xml:space="preserve"> 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Nimi</w:t>
      </w:r>
      <w:r w:rsidR="00D342F6">
        <w:rPr>
          <w:lang w:val="et-EE"/>
        </w:rPr>
        <w:t xml:space="preserve">: </w:t>
      </w:r>
      <w:r w:rsidRPr="0019398B">
        <w:rPr>
          <w:lang w:val="et-EE"/>
        </w:rPr>
        <w:t xml:space="preserve"> </w:t>
      </w:r>
      <w:r w:rsidR="00D342F6" w:rsidRPr="00D342F6">
        <w:rPr>
          <w:lang w:val="et-EE"/>
        </w:rPr>
        <w:t>Jaan Kallas</w:t>
      </w:r>
      <w:r w:rsidR="00D342F6" w:rsidRPr="00D342F6" w:rsidDel="00D342F6">
        <w:rPr>
          <w:lang w:val="et-EE"/>
        </w:rPr>
        <w:t xml:space="preserve"> </w:t>
      </w:r>
    </w:p>
    <w:p w14:paraId="2A18BAE3" w14:textId="77777777" w:rsidR="001C205A" w:rsidRDefault="001C205A" w:rsidP="005420F6">
      <w:pPr>
        <w:spacing w:line="360" w:lineRule="auto"/>
        <w:ind w:left="-180" w:right="-154"/>
      </w:pPr>
      <w:r w:rsidRPr="0019398B">
        <w:rPr>
          <w:lang w:val="et-EE"/>
        </w:rPr>
        <w:t xml:space="preserve">Kuupäev 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Allkiri</w:t>
      </w:r>
      <w:r w:rsidR="00D342F6">
        <w:rPr>
          <w:lang w:val="et-EE"/>
        </w:rPr>
        <w:t xml:space="preserve"> </w:t>
      </w:r>
      <w:r w:rsidR="00016B00" w:rsidRPr="00016B00">
        <w:rPr>
          <w:lang w:val="et-EE"/>
        </w:rPr>
        <w:t>(allkirjastatud digitaalselt)</w:t>
      </w:r>
    </w:p>
    <w:p w14:paraId="11C65901" w14:textId="77777777" w:rsidR="005420F6" w:rsidRDefault="005420F6" w:rsidP="005420F6">
      <w:pPr>
        <w:spacing w:line="360" w:lineRule="auto"/>
        <w:ind w:left="-180" w:right="-154"/>
      </w:pPr>
    </w:p>
    <w:p w14:paraId="01513A3B" w14:textId="007C5624" w:rsidR="005420F6" w:rsidRPr="0019398B" w:rsidRDefault="005420F6" w:rsidP="005420F6">
      <w:pPr>
        <w:ind w:left="-180" w:right="-154"/>
        <w:rPr>
          <w:lang w:val="et-EE"/>
        </w:rPr>
      </w:pPr>
      <w:r w:rsidRPr="00023CE0">
        <w:rPr>
          <w:b/>
          <w:lang w:val="et-EE"/>
        </w:rPr>
        <w:t>VAHETU JUHT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Nimi</w:t>
      </w:r>
      <w:r>
        <w:rPr>
          <w:lang w:val="et-EE"/>
        </w:rPr>
        <w:t xml:space="preserve">: </w:t>
      </w:r>
      <w:r w:rsidR="00A27C82">
        <w:rPr>
          <w:lang w:val="et-EE"/>
        </w:rPr>
        <w:t>Tanel Trell</w:t>
      </w:r>
    </w:p>
    <w:p w14:paraId="2433AC1F" w14:textId="77777777" w:rsidR="005420F6" w:rsidRPr="0019398B" w:rsidRDefault="005420F6" w:rsidP="005420F6">
      <w:pPr>
        <w:ind w:left="-180" w:right="-154"/>
        <w:rPr>
          <w:lang w:val="et-EE"/>
        </w:rPr>
      </w:pPr>
    </w:p>
    <w:p w14:paraId="6D5EEE10" w14:textId="77777777" w:rsidR="005420F6" w:rsidRPr="0019398B" w:rsidRDefault="005420F6" w:rsidP="005420F6">
      <w:pPr>
        <w:ind w:left="-180" w:right="-154"/>
        <w:rPr>
          <w:lang w:val="et-EE"/>
        </w:rPr>
      </w:pPr>
      <w:r w:rsidRPr="0019398B">
        <w:rPr>
          <w:lang w:val="et-EE"/>
        </w:rPr>
        <w:t>Kuupäev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Allkiri</w:t>
      </w:r>
      <w:r>
        <w:rPr>
          <w:lang w:val="et-EE"/>
        </w:rPr>
        <w:t xml:space="preserve"> </w:t>
      </w:r>
      <w:r w:rsidR="00016B00" w:rsidRPr="00016B00">
        <w:rPr>
          <w:lang w:val="et-EE"/>
        </w:rPr>
        <w:t>(allkirjastatud digitaalselt</w:t>
      </w:r>
      <w:r w:rsidR="00016B00">
        <w:t>)</w:t>
      </w:r>
    </w:p>
    <w:p w14:paraId="6DDFC81E" w14:textId="77777777" w:rsidR="005420F6" w:rsidRPr="0019398B" w:rsidRDefault="005420F6" w:rsidP="005420F6">
      <w:pPr>
        <w:ind w:left="-180" w:right="-154"/>
        <w:rPr>
          <w:lang w:val="et-EE"/>
        </w:rPr>
      </w:pPr>
    </w:p>
    <w:p w14:paraId="3D0D2980" w14:textId="77777777" w:rsidR="005420F6" w:rsidRDefault="005420F6" w:rsidP="005420F6">
      <w:pPr>
        <w:ind w:left="-180" w:right="-154"/>
        <w:rPr>
          <w:lang w:val="et-EE"/>
        </w:rPr>
      </w:pPr>
    </w:p>
    <w:p w14:paraId="3CFDDE0E" w14:textId="77777777" w:rsidR="004052FB" w:rsidRPr="0019398B" w:rsidRDefault="004052FB" w:rsidP="005420F6">
      <w:pPr>
        <w:ind w:left="-180" w:right="-154"/>
        <w:rPr>
          <w:lang w:val="et-EE"/>
        </w:rPr>
      </w:pPr>
    </w:p>
    <w:p w14:paraId="723C8EA8" w14:textId="77777777" w:rsidR="005420F6" w:rsidRPr="0019398B" w:rsidRDefault="005420F6" w:rsidP="005420F6">
      <w:pPr>
        <w:pStyle w:val="BodyText"/>
        <w:ind w:left="-180" w:right="-154"/>
        <w:rPr>
          <w:szCs w:val="24"/>
        </w:rPr>
      </w:pPr>
      <w:r w:rsidRPr="0019398B">
        <w:rPr>
          <w:szCs w:val="24"/>
        </w:rPr>
        <w:t>Kinnitan, et olen tutvunud ametijuhendiga ja kohustun järgima sellega ettenähtud tingimusi ja nõudeid.</w:t>
      </w:r>
    </w:p>
    <w:p w14:paraId="1839BF7D" w14:textId="77777777" w:rsidR="005420F6" w:rsidRPr="0019398B" w:rsidRDefault="005420F6" w:rsidP="005420F6">
      <w:pPr>
        <w:ind w:left="-180" w:right="-154"/>
        <w:rPr>
          <w:lang w:val="et-EE"/>
        </w:rPr>
      </w:pPr>
    </w:p>
    <w:p w14:paraId="7A73ED02" w14:textId="77777777" w:rsidR="00782CAF" w:rsidRDefault="005420F6" w:rsidP="00782CAF">
      <w:pPr>
        <w:ind w:left="-180" w:right="-154"/>
        <w:rPr>
          <w:lang w:val="et-EE"/>
        </w:rPr>
      </w:pPr>
      <w:r w:rsidRPr="0019398B">
        <w:rPr>
          <w:b/>
          <w:bCs/>
          <w:lang w:val="et-EE"/>
        </w:rPr>
        <w:t>TEENISTUJA</w:t>
      </w:r>
      <w:r w:rsidRPr="0019398B">
        <w:rPr>
          <w:b/>
          <w:bCs/>
          <w:lang w:val="et-EE"/>
        </w:rPr>
        <w:tab/>
      </w:r>
      <w:r w:rsidR="00782CAF">
        <w:rPr>
          <w:lang w:val="et-EE"/>
        </w:rPr>
        <w:tab/>
      </w:r>
      <w:r w:rsidR="00782CAF">
        <w:rPr>
          <w:lang w:val="et-EE"/>
        </w:rPr>
        <w:tab/>
      </w:r>
      <w:r w:rsidR="00782CAF">
        <w:rPr>
          <w:lang w:val="et-EE"/>
        </w:rPr>
        <w:tab/>
      </w:r>
      <w:r w:rsidR="00782CAF">
        <w:rPr>
          <w:lang w:val="et-EE"/>
        </w:rPr>
        <w:tab/>
      </w:r>
      <w:r w:rsidRPr="0019398B">
        <w:rPr>
          <w:lang w:val="et-EE"/>
        </w:rPr>
        <w:t>Nimi</w:t>
      </w:r>
      <w:r>
        <w:rPr>
          <w:lang w:val="et-EE"/>
        </w:rPr>
        <w:t>:</w:t>
      </w:r>
      <w:r w:rsidRPr="0019398B">
        <w:rPr>
          <w:lang w:val="et-EE"/>
        </w:rPr>
        <w:t xml:space="preserve"> </w:t>
      </w:r>
      <w:r>
        <w:rPr>
          <w:lang w:val="et-EE"/>
        </w:rPr>
        <w:t>Jaan</w:t>
      </w:r>
      <w:r w:rsidR="00782CAF">
        <w:rPr>
          <w:lang w:val="et-EE"/>
        </w:rPr>
        <w:t>us</w:t>
      </w:r>
      <w:r>
        <w:rPr>
          <w:lang w:val="et-EE"/>
        </w:rPr>
        <w:t xml:space="preserve"> </w:t>
      </w:r>
      <w:r w:rsidR="00782CAF">
        <w:rPr>
          <w:lang w:val="et-EE"/>
        </w:rPr>
        <w:t>Ainso</w:t>
      </w:r>
    </w:p>
    <w:p w14:paraId="4C585452" w14:textId="77777777" w:rsidR="00782CAF" w:rsidRDefault="00782CAF" w:rsidP="00782CAF">
      <w:pPr>
        <w:ind w:left="-180" w:right="-154"/>
        <w:rPr>
          <w:lang w:val="et-EE"/>
        </w:rPr>
      </w:pPr>
    </w:p>
    <w:p w14:paraId="73A7AB86" w14:textId="77777777" w:rsidR="00460A21" w:rsidRDefault="00782CAF" w:rsidP="00782CAF">
      <w:pPr>
        <w:ind w:left="-180" w:right="-154"/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>
        <w:t xml:space="preserve"> </w:t>
      </w:r>
      <w:r w:rsidR="00016B00" w:rsidRPr="00016B00">
        <w:rPr>
          <w:lang w:val="et-EE"/>
        </w:rPr>
        <w:t>(allkirjastatud digitaalselt)</w:t>
      </w:r>
    </w:p>
    <w:sectPr w:rsidR="00460A21">
      <w:headerReference w:type="default" r:id="rId8"/>
      <w:footnotePr>
        <w:pos w:val="beneathText"/>
      </w:footnotePr>
      <w:pgSz w:w="11905" w:h="16837"/>
      <w:pgMar w:top="1418" w:right="1247" w:bottom="851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561B4" w14:textId="77777777" w:rsidR="00440091" w:rsidRDefault="00440091">
      <w:r>
        <w:separator/>
      </w:r>
    </w:p>
  </w:endnote>
  <w:endnote w:type="continuationSeparator" w:id="0">
    <w:p w14:paraId="468C56F7" w14:textId="77777777" w:rsidR="00440091" w:rsidRDefault="004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1FF2" w14:textId="77777777" w:rsidR="00440091" w:rsidRDefault="00440091">
      <w:r>
        <w:separator/>
      </w:r>
    </w:p>
  </w:footnote>
  <w:footnote w:type="continuationSeparator" w:id="0">
    <w:p w14:paraId="49A090B9" w14:textId="77777777" w:rsidR="00440091" w:rsidRDefault="0044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7F73" w14:textId="77777777" w:rsidR="001C205A" w:rsidRDefault="001C205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C112450" w14:textId="77777777" w:rsidR="001C205A" w:rsidRDefault="001C205A">
    <w:pPr>
      <w:pStyle w:val="Header"/>
      <w:rPr>
        <w:lang w:val="et-EE"/>
      </w:rPr>
    </w:pPr>
    <w:r>
      <w:rPr>
        <w:lang w:val="et-EE"/>
      </w:rPr>
      <w:t>Ametijuhend</w:t>
    </w:r>
  </w:p>
  <w:p w14:paraId="78AADA1D" w14:textId="77777777" w:rsidR="001C205A" w:rsidRDefault="00AB11AA" w:rsidP="00AB11AA">
    <w:pPr>
      <w:pStyle w:val="Header"/>
      <w:rPr>
        <w:lang w:val="et-EE"/>
      </w:rPr>
    </w:pPr>
    <w:r w:rsidRPr="00AB11AA">
      <w:rPr>
        <w:lang w:val="et-EE"/>
      </w:rPr>
      <w:t>Jaan</w:t>
    </w:r>
    <w:r w:rsidR="00782CAF">
      <w:rPr>
        <w:lang w:val="et-EE"/>
      </w:rPr>
      <w:t>us</w:t>
    </w:r>
    <w:r w:rsidRPr="00AB11AA">
      <w:rPr>
        <w:lang w:val="et-EE"/>
      </w:rPr>
      <w:t xml:space="preserve"> </w:t>
    </w:r>
    <w:r w:rsidR="00782CAF">
      <w:rPr>
        <w:lang w:val="et-EE"/>
      </w:rPr>
      <w:t>Ainso</w:t>
    </w:r>
  </w:p>
  <w:p w14:paraId="6D6E0C0F" w14:textId="77777777" w:rsidR="00D939AF" w:rsidRDefault="00D939AF" w:rsidP="00AB11A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12"/>
        </w:tabs>
        <w:ind w:left="71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1F506F7"/>
    <w:multiLevelType w:val="hybridMultilevel"/>
    <w:tmpl w:val="A99097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84D70"/>
    <w:multiLevelType w:val="hybridMultilevel"/>
    <w:tmpl w:val="0A6A0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20DE4"/>
    <w:multiLevelType w:val="hybridMultilevel"/>
    <w:tmpl w:val="306646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9"/>
    <w:rsid w:val="00013C18"/>
    <w:rsid w:val="00016B00"/>
    <w:rsid w:val="00023CE0"/>
    <w:rsid w:val="000507D5"/>
    <w:rsid w:val="00051EF9"/>
    <w:rsid w:val="000715DE"/>
    <w:rsid w:val="000A6566"/>
    <w:rsid w:val="000B6D04"/>
    <w:rsid w:val="000F0A93"/>
    <w:rsid w:val="00127492"/>
    <w:rsid w:val="001337F9"/>
    <w:rsid w:val="00161AAE"/>
    <w:rsid w:val="001667C2"/>
    <w:rsid w:val="001726FE"/>
    <w:rsid w:val="001756E1"/>
    <w:rsid w:val="00176C35"/>
    <w:rsid w:val="00181309"/>
    <w:rsid w:val="00184759"/>
    <w:rsid w:val="00190F7B"/>
    <w:rsid w:val="0019398B"/>
    <w:rsid w:val="001C12CB"/>
    <w:rsid w:val="001C205A"/>
    <w:rsid w:val="001D3767"/>
    <w:rsid w:val="001E20B2"/>
    <w:rsid w:val="001E56E5"/>
    <w:rsid w:val="00205087"/>
    <w:rsid w:val="00206A5C"/>
    <w:rsid w:val="002139B2"/>
    <w:rsid w:val="00262600"/>
    <w:rsid w:val="002944E2"/>
    <w:rsid w:val="00297F34"/>
    <w:rsid w:val="002A571F"/>
    <w:rsid w:val="002A5ECA"/>
    <w:rsid w:val="002D7AF8"/>
    <w:rsid w:val="002E6560"/>
    <w:rsid w:val="002E6E04"/>
    <w:rsid w:val="002F3B9C"/>
    <w:rsid w:val="00324D7B"/>
    <w:rsid w:val="00344F4A"/>
    <w:rsid w:val="00361F71"/>
    <w:rsid w:val="00374634"/>
    <w:rsid w:val="003A6C49"/>
    <w:rsid w:val="004018E7"/>
    <w:rsid w:val="004052FB"/>
    <w:rsid w:val="004364BD"/>
    <w:rsid w:val="00440091"/>
    <w:rsid w:val="00460A21"/>
    <w:rsid w:val="004775DB"/>
    <w:rsid w:val="004B1E0D"/>
    <w:rsid w:val="004C4A85"/>
    <w:rsid w:val="004D56BC"/>
    <w:rsid w:val="00515C68"/>
    <w:rsid w:val="005420F6"/>
    <w:rsid w:val="005674FC"/>
    <w:rsid w:val="00571993"/>
    <w:rsid w:val="00576EEC"/>
    <w:rsid w:val="00585461"/>
    <w:rsid w:val="00590CBD"/>
    <w:rsid w:val="005D4110"/>
    <w:rsid w:val="005E6B7B"/>
    <w:rsid w:val="005F3777"/>
    <w:rsid w:val="005F53E2"/>
    <w:rsid w:val="0060552C"/>
    <w:rsid w:val="00620C24"/>
    <w:rsid w:val="00620C79"/>
    <w:rsid w:val="00625164"/>
    <w:rsid w:val="00643BB9"/>
    <w:rsid w:val="00662AAF"/>
    <w:rsid w:val="006C07AB"/>
    <w:rsid w:val="006C3805"/>
    <w:rsid w:val="00741F0C"/>
    <w:rsid w:val="007438EE"/>
    <w:rsid w:val="00745644"/>
    <w:rsid w:val="00770721"/>
    <w:rsid w:val="00782CAF"/>
    <w:rsid w:val="007B1A59"/>
    <w:rsid w:val="007E7FE3"/>
    <w:rsid w:val="00800943"/>
    <w:rsid w:val="00811B48"/>
    <w:rsid w:val="008237F5"/>
    <w:rsid w:val="0082616A"/>
    <w:rsid w:val="00830BA4"/>
    <w:rsid w:val="00836641"/>
    <w:rsid w:val="008718A5"/>
    <w:rsid w:val="0089476A"/>
    <w:rsid w:val="008E5549"/>
    <w:rsid w:val="008E5EDF"/>
    <w:rsid w:val="008F3319"/>
    <w:rsid w:val="00901823"/>
    <w:rsid w:val="00917130"/>
    <w:rsid w:val="00930605"/>
    <w:rsid w:val="00933937"/>
    <w:rsid w:val="009415AF"/>
    <w:rsid w:val="009465FD"/>
    <w:rsid w:val="0097477B"/>
    <w:rsid w:val="00985035"/>
    <w:rsid w:val="00987193"/>
    <w:rsid w:val="0099305D"/>
    <w:rsid w:val="009967A9"/>
    <w:rsid w:val="009A3F12"/>
    <w:rsid w:val="009D01F8"/>
    <w:rsid w:val="009D278D"/>
    <w:rsid w:val="00A13619"/>
    <w:rsid w:val="00A20956"/>
    <w:rsid w:val="00A26F08"/>
    <w:rsid w:val="00A27C82"/>
    <w:rsid w:val="00A35B44"/>
    <w:rsid w:val="00A512D7"/>
    <w:rsid w:val="00A54BE2"/>
    <w:rsid w:val="00AB11AA"/>
    <w:rsid w:val="00AC4C0F"/>
    <w:rsid w:val="00AF76BE"/>
    <w:rsid w:val="00B016DF"/>
    <w:rsid w:val="00B6696A"/>
    <w:rsid w:val="00B710EE"/>
    <w:rsid w:val="00B84A5E"/>
    <w:rsid w:val="00BA2911"/>
    <w:rsid w:val="00BD13C8"/>
    <w:rsid w:val="00BD35C5"/>
    <w:rsid w:val="00BE06F2"/>
    <w:rsid w:val="00BE354E"/>
    <w:rsid w:val="00BE5D6B"/>
    <w:rsid w:val="00BE6C48"/>
    <w:rsid w:val="00C0234D"/>
    <w:rsid w:val="00C02B29"/>
    <w:rsid w:val="00C37195"/>
    <w:rsid w:val="00C55DC8"/>
    <w:rsid w:val="00C84029"/>
    <w:rsid w:val="00CA7B30"/>
    <w:rsid w:val="00CB69BD"/>
    <w:rsid w:val="00CC1AE2"/>
    <w:rsid w:val="00CC31A9"/>
    <w:rsid w:val="00CF2BDD"/>
    <w:rsid w:val="00CF622F"/>
    <w:rsid w:val="00D05726"/>
    <w:rsid w:val="00D1445E"/>
    <w:rsid w:val="00D1630B"/>
    <w:rsid w:val="00D177AD"/>
    <w:rsid w:val="00D342F6"/>
    <w:rsid w:val="00D46BEA"/>
    <w:rsid w:val="00D51739"/>
    <w:rsid w:val="00D939AF"/>
    <w:rsid w:val="00D94332"/>
    <w:rsid w:val="00DC6D26"/>
    <w:rsid w:val="00DD1135"/>
    <w:rsid w:val="00E03EBB"/>
    <w:rsid w:val="00E14624"/>
    <w:rsid w:val="00E1559B"/>
    <w:rsid w:val="00E37D6B"/>
    <w:rsid w:val="00E50440"/>
    <w:rsid w:val="00EA067D"/>
    <w:rsid w:val="00EC2A89"/>
    <w:rsid w:val="00EF10D8"/>
    <w:rsid w:val="00F14FE0"/>
    <w:rsid w:val="00F40233"/>
    <w:rsid w:val="00F86989"/>
    <w:rsid w:val="00F903FC"/>
    <w:rsid w:val="00FC33B0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6769"/>
  <w15:chartTrackingRefBased/>
  <w15:docId w15:val="{A3338D3F-EF9B-4510-860D-9E31E50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9"/>
      </w:numPr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CommentReference">
    <w:name w:val="WW-Comment Reference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val="et-E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Sisukord">
    <w:name w:val="Sisukord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Cs w:val="20"/>
    </w:rPr>
  </w:style>
  <w:style w:type="paragraph" w:customStyle="1" w:styleId="WW-CommentText">
    <w:name w:val="WW-Comment Text"/>
    <w:basedOn w:val="Normal"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BodyText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  <w:i/>
      <w:iCs/>
    </w:rPr>
  </w:style>
  <w:style w:type="character" w:styleId="CommentReference">
    <w:name w:val="annotation reference"/>
    <w:uiPriority w:val="99"/>
    <w:semiHidden/>
    <w:unhideWhenUsed/>
    <w:rsid w:val="00BE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6C48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C48"/>
    <w:rPr>
      <w:b/>
      <w:bCs/>
      <w:lang w:val="en-GB" w:eastAsia="ar-S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C48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BE6C48"/>
    <w:rPr>
      <w:rFonts w:ascii="Tahoma" w:hAnsi="Tahoma" w:cs="Tahoma"/>
      <w:sz w:val="16"/>
      <w:szCs w:val="16"/>
      <w:lang w:val="en-GB" w:eastAsia="ar-SA"/>
    </w:rPr>
  </w:style>
  <w:style w:type="character" w:customStyle="1" w:styleId="BodyTextChar">
    <w:name w:val="Body Text Char"/>
    <w:link w:val="BodyText"/>
    <w:semiHidden/>
    <w:rsid w:val="005420F6"/>
    <w:rPr>
      <w:sz w:val="24"/>
      <w:lang w:eastAsia="ar-SA"/>
    </w:rPr>
  </w:style>
  <w:style w:type="character" w:customStyle="1" w:styleId="HeaderChar">
    <w:name w:val="Header Char"/>
    <w:link w:val="Header"/>
    <w:semiHidden/>
    <w:rsid w:val="005420F6"/>
    <w:rPr>
      <w:sz w:val="24"/>
      <w:lang w:val="en-GB" w:eastAsia="ar-SA"/>
    </w:rPr>
  </w:style>
  <w:style w:type="paragraph" w:customStyle="1" w:styleId="Default">
    <w:name w:val="Default"/>
    <w:rsid w:val="002626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9C03-CCBC-45A1-9EF6-B9D0E8E3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Jaanus Ainso</vt:lpstr>
    </vt:vector>
  </TitlesOfParts>
  <Company>PRIA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Jaanus Ainso</dc:title>
  <dc:subject/>
  <dc:creator>mart</dc:creator>
  <cp:lastModifiedBy>Tiiu Klement</cp:lastModifiedBy>
  <cp:revision>2</cp:revision>
  <cp:lastPrinted>2008-08-19T10:28:00Z</cp:lastPrinted>
  <dcterms:created xsi:type="dcterms:W3CDTF">2023-03-31T05:47:00Z</dcterms:created>
  <dcterms:modified xsi:type="dcterms:W3CDTF">2023-03-31T05:47:00Z</dcterms:modified>
</cp:coreProperties>
</file>