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1984CF" w14:textId="77777777" w:rsidR="004D33AE" w:rsidRDefault="004D33AE" w:rsidP="0060581A">
      <w:pPr>
        <w:keepNext/>
        <w:keepLines/>
        <w:suppressLineNumbers/>
        <w:autoSpaceDE/>
        <w:autoSpaceDN/>
        <w:jc w:val="right"/>
        <w:rPr>
          <w:rFonts w:eastAsia="SimSun"/>
          <w:b/>
          <w:bCs/>
          <w:kern w:val="1"/>
          <w:sz w:val="20"/>
          <w:szCs w:val="20"/>
          <w:lang w:eastAsia="zh-CN" w:bidi="hi-IN"/>
        </w:rPr>
      </w:pPr>
      <w:bookmarkStart w:id="0" w:name="_GoBack"/>
      <w:bookmarkEnd w:id="0"/>
    </w:p>
    <w:p w14:paraId="06C2A86C" w14:textId="77777777" w:rsidR="00FA7F23" w:rsidRDefault="00FA7F23" w:rsidP="000F3352">
      <w:pPr>
        <w:rPr>
          <w:b/>
          <w:bCs/>
        </w:rPr>
      </w:pPr>
      <w:r w:rsidRPr="00FA7F23">
        <w:rPr>
          <w:noProof/>
          <w:lang w:eastAsia="et-EE"/>
        </w:rPr>
        <mc:AlternateContent>
          <mc:Choice Requires="wps">
            <w:drawing>
              <wp:anchor distT="0" distB="0" distL="114300" distR="114300" simplePos="0" relativeHeight="251659264" behindDoc="0" locked="0" layoutInCell="1" allowOverlap="1" wp14:anchorId="4B62FCA8" wp14:editId="2F83974B">
                <wp:simplePos x="0" y="0"/>
                <wp:positionH relativeFrom="column">
                  <wp:posOffset>3852512</wp:posOffset>
                </wp:positionH>
                <wp:positionV relativeFrom="paragraph">
                  <wp:posOffset>51134</wp:posOffset>
                </wp:positionV>
                <wp:extent cx="2111876" cy="442762"/>
                <wp:effectExtent l="0" t="0" r="22225" b="14605"/>
                <wp:wrapNone/>
                <wp:docPr id="2" name="Tekstiväli 2"/>
                <wp:cNvGraphicFramePr/>
                <a:graphic xmlns:a="http://schemas.openxmlformats.org/drawingml/2006/main">
                  <a:graphicData uri="http://schemas.microsoft.com/office/word/2010/wordprocessingShape">
                    <wps:wsp>
                      <wps:cNvSpPr txBox="1"/>
                      <wps:spPr>
                        <a:xfrm>
                          <a:off x="0" y="0"/>
                          <a:ext cx="2111876" cy="442762"/>
                        </a:xfrm>
                        <a:prstGeom prst="rect">
                          <a:avLst/>
                        </a:prstGeom>
                        <a:solidFill>
                          <a:sysClr val="window" lastClr="FFFFFF"/>
                        </a:solidFill>
                        <a:ln w="6350">
                          <a:solidFill>
                            <a:sysClr val="window" lastClr="FFFFFF"/>
                          </a:solidFill>
                        </a:ln>
                        <a:effectLst/>
                      </wps:spPr>
                      <wps:txbx>
                        <w:txbxContent>
                          <w:p w14:paraId="037C36D8" w14:textId="77777777" w:rsidR="00DA1BAB" w:rsidRDefault="00DA1BAB" w:rsidP="000F3352">
                            <w:pPr>
                              <w:rPr>
                                <w:b/>
                                <w:sz w:val="20"/>
                                <w:szCs w:val="20"/>
                              </w:rPr>
                            </w:pPr>
                            <w:r>
                              <w:rPr>
                                <w:b/>
                                <w:sz w:val="20"/>
                                <w:szCs w:val="20"/>
                              </w:rPr>
                              <w:t>KAVAND</w:t>
                            </w:r>
                          </w:p>
                          <w:p w14:paraId="4F50A36E" w14:textId="2B1655AB" w:rsidR="00DA1BAB" w:rsidRDefault="00837BF3" w:rsidP="000F3352">
                            <w:pPr>
                              <w:rPr>
                                <w:sz w:val="20"/>
                                <w:szCs w:val="20"/>
                              </w:rPr>
                            </w:pPr>
                            <w:r>
                              <w:rPr>
                                <w:sz w:val="20"/>
                                <w:szCs w:val="20"/>
                              </w:rPr>
                              <w:t>01</w:t>
                            </w:r>
                            <w:r w:rsidR="00DA1BAB">
                              <w:rPr>
                                <w:sz w:val="20"/>
                                <w:szCs w:val="20"/>
                              </w:rPr>
                              <w:t>.</w:t>
                            </w:r>
                            <w:r>
                              <w:rPr>
                                <w:sz w:val="20"/>
                                <w:szCs w:val="20"/>
                              </w:rPr>
                              <w:t>02</w:t>
                            </w:r>
                            <w:r w:rsidR="00DA1BAB">
                              <w:rPr>
                                <w:sz w:val="20"/>
                                <w:szCs w:val="20"/>
                              </w:rPr>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B62FCA8" id="_x0000_t202" coordsize="21600,21600" o:spt="202" path="m,l,21600r21600,l21600,xe">
                <v:stroke joinstyle="miter"/>
                <v:path gradientshapeok="t" o:connecttype="rect"/>
              </v:shapetype>
              <v:shape id="Tekstiväli 2" o:spid="_x0000_s1026" type="#_x0000_t202" style="position:absolute;margin-left:303.35pt;margin-top:4.05pt;width:166.3pt;height:3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" fillcolor="window" strokecolor="window" strokeweight=".5pt">
                <v:textbox>
                  <w:txbxContent>
                    <w:p w14:paraId="037C36D8" w14:textId="77777777" w:rsidR="00DA1BAB" w:rsidRDefault="00DA1BAB" w:rsidP="000F3352">
                      <w:pPr>
                        <w:rPr>
                          <w:b/>
                          <w:sz w:val="20"/>
                          <w:szCs w:val="20"/>
                        </w:rPr>
                      </w:pPr>
                      <w:r>
                        <w:rPr>
                          <w:b/>
                          <w:sz w:val="20"/>
                          <w:szCs w:val="20"/>
                        </w:rPr>
                        <w:t>KAVAND</w:t>
                      </w:r>
                    </w:p>
                    <w:p w14:paraId="4F50A36E" w14:textId="2B1655AB" w:rsidR="00DA1BAB" w:rsidRDefault="00837BF3" w:rsidP="000F3352">
                      <w:pPr>
                        <w:rPr>
                          <w:sz w:val="20"/>
                          <w:szCs w:val="20"/>
                        </w:rPr>
                      </w:pPr>
                      <w:r>
                        <w:rPr>
                          <w:sz w:val="20"/>
                          <w:szCs w:val="20"/>
                        </w:rPr>
                        <w:t>01</w:t>
                      </w:r>
                      <w:r w:rsidR="00DA1BAB">
                        <w:rPr>
                          <w:sz w:val="20"/>
                          <w:szCs w:val="20"/>
                        </w:rPr>
                        <w:t>.</w:t>
                      </w:r>
                      <w:r>
                        <w:rPr>
                          <w:sz w:val="20"/>
                          <w:szCs w:val="20"/>
                        </w:rPr>
                        <w:t>02</w:t>
                      </w:r>
                      <w:r w:rsidR="00DA1BAB">
                        <w:rPr>
                          <w:sz w:val="20"/>
                          <w:szCs w:val="20"/>
                        </w:rPr>
                        <w:t>.2023</w:t>
                      </w:r>
                    </w:p>
                  </w:txbxContent>
                </v:textbox>
              </v:shape>
            </w:pict>
          </mc:Fallback>
        </mc:AlternateContent>
      </w:r>
    </w:p>
    <w:p w14:paraId="74C3FD11" w14:textId="77777777" w:rsidR="0060581A" w:rsidRDefault="0060581A" w:rsidP="000F3352">
      <w:pPr>
        <w:rPr>
          <w:b/>
          <w:bCs/>
        </w:rPr>
      </w:pPr>
    </w:p>
    <w:p w14:paraId="1DD05A1B" w14:textId="77777777" w:rsidR="0060581A" w:rsidRDefault="0060581A" w:rsidP="0060581A">
      <w:pPr>
        <w:rPr>
          <w:b/>
          <w:bCs/>
        </w:rPr>
      </w:pPr>
    </w:p>
    <w:p w14:paraId="5D1D8B0F" w14:textId="77777777" w:rsidR="005560E8" w:rsidRDefault="005560E8" w:rsidP="0060581A">
      <w:pPr>
        <w:rPr>
          <w:b/>
          <w:bCs/>
        </w:rPr>
      </w:pPr>
    </w:p>
    <w:p w14:paraId="516CA2B4" w14:textId="77777777" w:rsidR="002D6483" w:rsidRPr="002D6483" w:rsidRDefault="002D6483" w:rsidP="002D6483">
      <w:pPr>
        <w:jc w:val="center"/>
        <w:rPr>
          <w:b/>
          <w:bCs/>
        </w:rPr>
      </w:pPr>
      <w:r w:rsidRPr="002D6483">
        <w:rPr>
          <w:b/>
          <w:bCs/>
        </w:rPr>
        <w:t>SELETUSKIRI</w:t>
      </w:r>
    </w:p>
    <w:p w14:paraId="4FAAAE94" w14:textId="770DCAA4" w:rsidR="002D6483" w:rsidRPr="002D6483" w:rsidRDefault="00FA555B" w:rsidP="002D6483">
      <w:pPr>
        <w:jc w:val="center"/>
        <w:rPr>
          <w:b/>
          <w:bCs/>
        </w:rPr>
      </w:pPr>
      <w:r>
        <w:rPr>
          <w:b/>
          <w:bCs/>
        </w:rPr>
        <w:t>Maaelu</w:t>
      </w:r>
      <w:r w:rsidR="002D6483" w:rsidRPr="002D6483">
        <w:rPr>
          <w:b/>
          <w:bCs/>
        </w:rPr>
        <w:t>ministri määruse „</w:t>
      </w:r>
      <w:r w:rsidR="00D0223A">
        <w:rPr>
          <w:b/>
          <w:bCs/>
        </w:rPr>
        <w:t>Mesindussektori</w:t>
      </w:r>
      <w:r w:rsidR="00CD7759">
        <w:rPr>
          <w:b/>
          <w:bCs/>
        </w:rPr>
        <w:t>sse</w:t>
      </w:r>
      <w:r w:rsidR="00D0223A">
        <w:rPr>
          <w:b/>
          <w:bCs/>
        </w:rPr>
        <w:t xml:space="preserve"> sekkumise toetus</w:t>
      </w:r>
      <w:r w:rsidR="002D6483" w:rsidRPr="002D6483">
        <w:rPr>
          <w:b/>
          <w:bCs/>
        </w:rPr>
        <w:t>” eelnõu</w:t>
      </w:r>
      <w:r w:rsidR="002D6483">
        <w:rPr>
          <w:b/>
          <w:bCs/>
        </w:rPr>
        <w:t xml:space="preserve"> juurde</w:t>
      </w:r>
    </w:p>
    <w:p w14:paraId="61F83FC7" w14:textId="77777777" w:rsidR="002D6483" w:rsidRDefault="002D6483" w:rsidP="002D6483">
      <w:pPr>
        <w:rPr>
          <w:b/>
          <w:bCs/>
        </w:rPr>
      </w:pPr>
    </w:p>
    <w:p w14:paraId="0BB3913C" w14:textId="78D6CECD" w:rsidR="002D6483" w:rsidRDefault="002D6483" w:rsidP="002D6483">
      <w:pPr>
        <w:rPr>
          <w:b/>
          <w:bCs/>
        </w:rPr>
      </w:pPr>
      <w:r w:rsidRPr="002D6483">
        <w:rPr>
          <w:b/>
          <w:bCs/>
        </w:rPr>
        <w:t>1. Sissejuhatu</w:t>
      </w:r>
      <w:r w:rsidR="000552EB">
        <w:rPr>
          <w:b/>
          <w:bCs/>
        </w:rPr>
        <w:t>s</w:t>
      </w:r>
    </w:p>
    <w:p w14:paraId="02D75968" w14:textId="77777777" w:rsidR="002D6483" w:rsidRDefault="002D6483" w:rsidP="002D6483">
      <w:pPr>
        <w:rPr>
          <w:b/>
          <w:bCs/>
        </w:rPr>
      </w:pPr>
    </w:p>
    <w:p w14:paraId="1A8D9D83" w14:textId="56D185F4" w:rsidR="002B1ABC" w:rsidRDefault="002B1ABC" w:rsidP="00F3622D">
      <w:pPr>
        <w:jc w:val="both"/>
      </w:pPr>
      <w:r>
        <w:t xml:space="preserve">Määrus kehtestatakse Euroopa Liidu ühise põllumajanduspoliitika rakendamise seaduse </w:t>
      </w:r>
      <w:r w:rsidR="00D61626">
        <w:t xml:space="preserve">§ 7 lõike 2, </w:t>
      </w:r>
      <w:r w:rsidRPr="00C208B2">
        <w:rPr>
          <w:color w:val="000000" w:themeColor="text1"/>
        </w:rPr>
        <w:t>§ 12 lõike</w:t>
      </w:r>
      <w:r w:rsidR="00D61626">
        <w:rPr>
          <w:color w:val="000000" w:themeColor="text1"/>
        </w:rPr>
        <w:t xml:space="preserve"> 3, § 18 lõike 4, 19 lõike 5, </w:t>
      </w:r>
      <w:r w:rsidRPr="00C208B2">
        <w:rPr>
          <w:color w:val="000000" w:themeColor="text1"/>
        </w:rPr>
        <w:t>§ 20 lõike 4</w:t>
      </w:r>
      <w:r w:rsidR="00D61626" w:rsidRPr="00D61626">
        <w:rPr>
          <w:color w:val="000000" w:themeColor="text1"/>
        </w:rPr>
        <w:t xml:space="preserve"> </w:t>
      </w:r>
      <w:r w:rsidR="00D61626" w:rsidRPr="00F771CF">
        <w:rPr>
          <w:color w:val="000000" w:themeColor="text1"/>
        </w:rPr>
        <w:t xml:space="preserve">ning § 104 lõike 2 </w:t>
      </w:r>
      <w:r w:rsidR="00D61626">
        <w:rPr>
          <w:color w:val="000000" w:themeColor="text1"/>
        </w:rPr>
        <w:t xml:space="preserve"> alusel. Määrus on kooskõlas</w:t>
      </w:r>
      <w:r>
        <w:rPr>
          <w:color w:val="000000" w:themeColor="text1"/>
        </w:rPr>
        <w:t xml:space="preserve"> </w:t>
      </w:r>
      <w:r w:rsidRPr="00741ABD">
        <w:t xml:space="preserve">Euroopa Parlamendi ja nõukogu määruse (EL) </w:t>
      </w:r>
      <w:r>
        <w:t>2021/2115</w:t>
      </w:r>
      <w:r w:rsidRPr="00741ABD">
        <w:t>, millega kehtestatakse liikmesriikide koostatavate Euroopa Põllumajanduse Tagatisfondist (EAGF) ja Euroopa Maaelu Arengu Põllumajandusfondist (EAFRD) rahastatavate ühise põllumajanduspoliitika strateegiakavade</w:t>
      </w:r>
      <w:r>
        <w:t xml:space="preserve"> (ÜPP strateegiakavad)</w:t>
      </w:r>
      <w:r w:rsidRPr="004A47A1">
        <w:t xml:space="preserve"> toetamise reeglid ning tunnistatakse kehtetuks määrused (EL) nr 1305/2013 ja (EL) nr 1307/2013 (ELT L 435, 06.12.2021, lk 1–186) (edaspidi </w:t>
      </w:r>
      <w:r w:rsidRPr="004A47A1">
        <w:rPr>
          <w:i/>
        </w:rPr>
        <w:t>ÜPP strateegiakavade määrus</w:t>
      </w:r>
      <w:r w:rsidRPr="004A47A1">
        <w:t>)</w:t>
      </w:r>
      <w:r>
        <w:t>, artikli</w:t>
      </w:r>
      <w:r w:rsidR="00D61626">
        <w:t>tega</w:t>
      </w:r>
      <w:r>
        <w:t xml:space="preserve"> 44</w:t>
      </w:r>
      <w:r w:rsidR="00D61626">
        <w:t>, 54–56</w:t>
      </w:r>
      <w:r>
        <w:t xml:space="preserve"> </w:t>
      </w:r>
      <w:r w:rsidR="007C77F8">
        <w:t>ning komisjoni delegeeritud määruse (EL) 2022/126, millega täiendatakse Euroopa Parlamendi ja nõukogu määrust (EL) 2021/2115 täiendavate nõuetega teatavatele sekkumisviisidele, mille liikmesriigid määravad kindlaks kõnealuse määruse kohastes ajavahemikuks 2023–2027 ette nähtud ÜPP strateegiakavades, ning eeskirjadega, milles käsitletakse maa heas põllumajandus- ja keskkonnaseisundis hoidmise (HPK) 1.standardi kohast suhtarvu (ELT L 20, 31.01.2022, lk 52–</w:t>
      </w:r>
      <w:r w:rsidR="007C77F8" w:rsidRPr="0095447F">
        <w:t>94</w:t>
      </w:r>
      <w:r w:rsidR="00D61626">
        <w:t>)</w:t>
      </w:r>
      <w:r w:rsidR="003F2006" w:rsidRPr="0095447F">
        <w:t xml:space="preserve"> (edaspidi </w:t>
      </w:r>
      <w:r w:rsidR="003F2006" w:rsidRPr="0095447F">
        <w:rPr>
          <w:i/>
        </w:rPr>
        <w:t>täiendavate nõuete määrus</w:t>
      </w:r>
      <w:r w:rsidR="003F2006" w:rsidRPr="0095447F">
        <w:t>)</w:t>
      </w:r>
      <w:r w:rsidR="007C77F8" w:rsidRPr="0095447F">
        <w:t>, artikli 21 lõike</w:t>
      </w:r>
      <w:r w:rsidR="007C77F8">
        <w:t xml:space="preserve"> 1 ja artikli 22 lõike</w:t>
      </w:r>
      <w:r w:rsidR="00D61626">
        <w:t>ga 3</w:t>
      </w:r>
      <w:r>
        <w:t>.</w:t>
      </w:r>
    </w:p>
    <w:p w14:paraId="45E05CF2" w14:textId="0C24E74B" w:rsidR="002B1ABC" w:rsidRDefault="002B1ABC" w:rsidP="00F3622D">
      <w:pPr>
        <w:jc w:val="both"/>
      </w:pPr>
    </w:p>
    <w:p w14:paraId="4B5A7CCA" w14:textId="2F80BD4F" w:rsidR="002B1ABC" w:rsidRDefault="00F3622D" w:rsidP="00F3622D">
      <w:pPr>
        <w:jc w:val="both"/>
      </w:pPr>
      <w:r>
        <w:t>Mesindusele kui põllumajanduse ökosüsteemi seisukohast väga olulise</w:t>
      </w:r>
      <w:r w:rsidR="003519C4">
        <w:t>le ja vajalikule sektorile on Euroopa Liidu</w:t>
      </w:r>
      <w:r>
        <w:t xml:space="preserve"> </w:t>
      </w:r>
      <w:r w:rsidR="003519C4">
        <w:t xml:space="preserve">(edaspidi </w:t>
      </w:r>
      <w:r w:rsidR="003519C4" w:rsidRPr="00573083">
        <w:rPr>
          <w:i/>
        </w:rPr>
        <w:t>EL</w:t>
      </w:r>
      <w:r w:rsidR="003519C4">
        <w:t xml:space="preserve">) </w:t>
      </w:r>
      <w:r>
        <w:t xml:space="preserve">ühise põllumajanduspoliitika </w:t>
      </w:r>
      <w:r w:rsidR="003519C4">
        <w:t xml:space="preserve">(edaspidi </w:t>
      </w:r>
      <w:r w:rsidR="003519C4" w:rsidRPr="003519C4">
        <w:rPr>
          <w:i/>
        </w:rPr>
        <w:t>ÜPP</w:t>
      </w:r>
      <w:r w:rsidR="003519C4" w:rsidRPr="003519C4">
        <w:t xml:space="preserve">) </w:t>
      </w:r>
      <w:r>
        <w:t xml:space="preserve">raames pööratud eraldi tähelepanu. </w:t>
      </w:r>
      <w:r w:rsidR="00E26F3F">
        <w:t>EL-i 2014-2020 eelarveperioodi lõpuni adresseeriti mesilaste arvu</w:t>
      </w:r>
      <w:r w:rsidR="002B1ABC">
        <w:t>kuse</w:t>
      </w:r>
      <w:r w:rsidR="00E26F3F">
        <w:t xml:space="preserve"> säilimist </w:t>
      </w:r>
      <w:r>
        <w:t xml:space="preserve">3-aastaste mesindusprogrammide </w:t>
      </w:r>
      <w:r w:rsidR="006F4D9F">
        <w:t xml:space="preserve">(edaspidi </w:t>
      </w:r>
      <w:r w:rsidR="006F4D9F" w:rsidRPr="006F4D9F">
        <w:rPr>
          <w:i/>
        </w:rPr>
        <w:t>mesindusprogramm</w:t>
      </w:r>
      <w:r w:rsidR="006F4D9F">
        <w:t xml:space="preserve">) </w:t>
      </w:r>
      <w:r>
        <w:t>rakendamisega Euroopa Parlamendi ja nõukogu määruse (EL) nr 1308/2013, millega kehtestatakse põllumajandustoodete ühine turukorraldus ning millega tunnistatakse kehtetuks nõukogu määrused (EMÜ) nr 922/72, (EMÜ) nr 234/79, (EÜ) nr 1037/2001 ja</w:t>
      </w:r>
      <w:r w:rsidR="00E26F3F">
        <w:t xml:space="preserve"> (EÜ) nr 1234/2007</w:t>
      </w:r>
      <w:r w:rsidR="004A47A1">
        <w:t xml:space="preserve"> </w:t>
      </w:r>
      <w:r w:rsidR="004A47A1" w:rsidRPr="004A47A1">
        <w:t>(ELT L 347, 20.12.2013, lk 671–854)</w:t>
      </w:r>
      <w:r w:rsidR="00E26F3F">
        <w:t xml:space="preserve">, alusel. </w:t>
      </w:r>
      <w:r w:rsidR="000534C7">
        <w:t xml:space="preserve">2023. aastal algavast EL-i eelarveperioodist alates aga toetatakse </w:t>
      </w:r>
      <w:r w:rsidR="002B1ABC">
        <w:t>EL-i ÜPP reformiprotsessi</w:t>
      </w:r>
      <w:r w:rsidR="002B1ABC" w:rsidRPr="00E26F3F">
        <w:t xml:space="preserve"> tulemusel EL-i õiguses tehtud muudatuste tõttu </w:t>
      </w:r>
      <w:r w:rsidR="000534C7">
        <w:t>mesindussektorit</w:t>
      </w:r>
      <w:r w:rsidR="000534C7" w:rsidRPr="002B1ABC">
        <w:t xml:space="preserve"> </w:t>
      </w:r>
      <w:r w:rsidR="004A47A1" w:rsidRPr="002B1ABC">
        <w:t>ÜPP strateegiakavade määrus</w:t>
      </w:r>
      <w:r w:rsidR="002B1ABC" w:rsidRPr="002B1ABC">
        <w:t>e</w:t>
      </w:r>
      <w:r w:rsidR="004A47A1" w:rsidRPr="002B1ABC">
        <w:t xml:space="preserve"> alusel </w:t>
      </w:r>
      <w:r w:rsidR="002B1ABC">
        <w:t xml:space="preserve">koostatud ja Euroopa Komisjoni </w:t>
      </w:r>
      <w:r w:rsidR="00772379">
        <w:t xml:space="preserve">(edaspidi </w:t>
      </w:r>
      <w:r w:rsidR="00772379" w:rsidRPr="00772379">
        <w:rPr>
          <w:i/>
        </w:rPr>
        <w:t>komisjon</w:t>
      </w:r>
      <w:r w:rsidR="00772379">
        <w:t xml:space="preserve">) </w:t>
      </w:r>
      <w:r w:rsidR="002B1ABC">
        <w:t>otsusega heaks ki</w:t>
      </w:r>
      <w:r w:rsidR="000534C7">
        <w:t>idetud</w:t>
      </w:r>
      <w:r w:rsidR="004A47A1">
        <w:t xml:space="preserve"> </w:t>
      </w:r>
      <w:r w:rsidR="009C45A3">
        <w:t>„</w:t>
      </w:r>
      <w:r w:rsidR="00321A1F">
        <w:t>EL ÜPP strateegiakava</w:t>
      </w:r>
      <w:r w:rsidR="002B1ABC">
        <w:t>s</w:t>
      </w:r>
      <w:r w:rsidR="00321A1F">
        <w:t xml:space="preserve"> aastateks 2023–2027</w:t>
      </w:r>
      <w:r w:rsidR="009C45A3">
        <w:t>“</w:t>
      </w:r>
      <w:r w:rsidR="00321A1F">
        <w:t xml:space="preserve"> </w:t>
      </w:r>
      <w:r w:rsidR="00321A1F" w:rsidRPr="004A47A1">
        <w:t xml:space="preserve">(edaspidi </w:t>
      </w:r>
      <w:r w:rsidR="00321A1F" w:rsidRPr="00321A1F">
        <w:rPr>
          <w:i/>
        </w:rPr>
        <w:t>ÜPP strateegiakava</w:t>
      </w:r>
      <w:r w:rsidR="00321A1F" w:rsidRPr="004A47A1">
        <w:t>)</w:t>
      </w:r>
      <w:r w:rsidR="002B1ABC">
        <w:t xml:space="preserve"> </w:t>
      </w:r>
      <w:r w:rsidR="000534C7">
        <w:t>sätestatud mesindussektori</w:t>
      </w:r>
      <w:r w:rsidR="00CD7759">
        <w:t>sse</w:t>
      </w:r>
      <w:r w:rsidR="000534C7">
        <w:t xml:space="preserve"> sekkumise meetmena</w:t>
      </w:r>
      <w:r w:rsidR="002B1ABC">
        <w:t xml:space="preserve">. </w:t>
      </w:r>
    </w:p>
    <w:p w14:paraId="69723928" w14:textId="77777777" w:rsidR="002B1ABC" w:rsidRDefault="002B1ABC" w:rsidP="00F3622D">
      <w:pPr>
        <w:jc w:val="both"/>
      </w:pPr>
    </w:p>
    <w:p w14:paraId="5E07A353" w14:textId="4FA4B051" w:rsidR="00203811" w:rsidRDefault="002B1ABC" w:rsidP="002B1ABC">
      <w:pPr>
        <w:jc w:val="both"/>
      </w:pPr>
      <w:r>
        <w:t>Mesindussektori</w:t>
      </w:r>
      <w:r w:rsidR="00CD7759">
        <w:t>sse</w:t>
      </w:r>
      <w:r>
        <w:t xml:space="preserve"> sekkumine on üks ÜPP strateegiakavade määruse kohaselt t</w:t>
      </w:r>
      <w:r w:rsidRPr="002B1ABC">
        <w:t xml:space="preserve">eatud põllumajandussektorites ÜPP eesmärkide saavutamisele kaasa aitamiseks </w:t>
      </w:r>
      <w:r>
        <w:t xml:space="preserve">sätestatud sektoripõhistest sekkumistest ning selle </w:t>
      </w:r>
      <w:r w:rsidR="003C7309">
        <w:t xml:space="preserve">rakendamine </w:t>
      </w:r>
      <w:r>
        <w:t xml:space="preserve">on </w:t>
      </w:r>
      <w:r w:rsidR="003C7309">
        <w:t>EL liikmesriikidele kohustuslik.</w:t>
      </w:r>
      <w:r w:rsidR="00321A1F">
        <w:t xml:space="preserve"> </w:t>
      </w:r>
      <w:r w:rsidR="00FA58C5">
        <w:t>ÜPP strateegiakavade määruse kohaselt</w:t>
      </w:r>
      <w:r w:rsidRPr="002B1ABC">
        <w:t xml:space="preserve"> püüavad liikmesriigid mesindussektoris saavutada vähemalt </w:t>
      </w:r>
      <w:r w:rsidR="00FA58C5">
        <w:t>ühte määrusega sätestatud asjakohast erieesmärki, mille</w:t>
      </w:r>
      <w:r w:rsidRPr="002F31E8">
        <w:t xml:space="preserve"> saavutamiseks määrab iga liikmesriik </w:t>
      </w:r>
      <w:r>
        <w:t xml:space="preserve"> määruse</w:t>
      </w:r>
      <w:r w:rsidR="00FA58C5">
        <w:t>s sätestatud valikule</w:t>
      </w:r>
      <w:r w:rsidRPr="002F31E8">
        <w:t xml:space="preserve"> tuginedes kindlaks sobivad sekkumis</w:t>
      </w:r>
      <w:r>
        <w:t>viisi</w:t>
      </w:r>
      <w:r w:rsidRPr="002F31E8">
        <w:t>d.</w:t>
      </w:r>
      <w:r w:rsidR="00F74B47">
        <w:t xml:space="preserve"> </w:t>
      </w:r>
      <w:r w:rsidR="00FA58C5">
        <w:t>Mesindussektori</w:t>
      </w:r>
      <w:r w:rsidR="00CD7759">
        <w:t>sse</w:t>
      </w:r>
      <w:r w:rsidR="00FA58C5">
        <w:t xml:space="preserve"> sekkumise toetust </w:t>
      </w:r>
      <w:r w:rsidR="00203811">
        <w:t xml:space="preserve">(edaspidi </w:t>
      </w:r>
      <w:r w:rsidR="00203811" w:rsidRPr="00203811">
        <w:rPr>
          <w:i/>
        </w:rPr>
        <w:t>toetus</w:t>
      </w:r>
      <w:r w:rsidR="00203811">
        <w:t xml:space="preserve">) </w:t>
      </w:r>
      <w:r w:rsidR="00FA58C5">
        <w:t xml:space="preserve">antakse </w:t>
      </w:r>
      <w:r w:rsidR="00203811">
        <w:t xml:space="preserve">tagastamatu abina </w:t>
      </w:r>
      <w:r w:rsidR="00FA58C5">
        <w:t>kindlaksmääratud sekkumisviiside raames eesmärgi saavuta</w:t>
      </w:r>
      <w:r w:rsidR="00203811">
        <w:t>miseks teostatud tegevustega kaasnevate</w:t>
      </w:r>
      <w:r w:rsidR="00FA58C5">
        <w:t xml:space="preserve"> abikõlblike kulude kompenseerimiseks.</w:t>
      </w:r>
      <w:r w:rsidR="00203811" w:rsidRPr="00203811">
        <w:t xml:space="preserve"> </w:t>
      </w:r>
    </w:p>
    <w:p w14:paraId="6611814A" w14:textId="77777777" w:rsidR="00FA58C5" w:rsidRDefault="00FA58C5" w:rsidP="002B1ABC">
      <w:pPr>
        <w:jc w:val="both"/>
      </w:pPr>
    </w:p>
    <w:p w14:paraId="4899E16E" w14:textId="3DF50835" w:rsidR="002B1ABC" w:rsidRDefault="002B1ABC" w:rsidP="002B1ABC">
      <w:pPr>
        <w:jc w:val="both"/>
      </w:pPr>
      <w:r>
        <w:t>Eestis selgitati mesindussektori</w:t>
      </w:r>
      <w:r w:rsidR="00CD7759">
        <w:t>sse</w:t>
      </w:r>
      <w:r>
        <w:t xml:space="preserve"> sekkumise eesmärk ning sekkumisviisid ja võimalikud tegevused eesmärgi saavutamiseks välja </w:t>
      </w:r>
      <w:r w:rsidRPr="003C7309">
        <w:t>mesindus</w:t>
      </w:r>
      <w:r>
        <w:t>sektori esindus</w:t>
      </w:r>
      <w:r w:rsidRPr="003C7309">
        <w:t>organisatsioonide esitatud ettepanekute põhjal</w:t>
      </w:r>
      <w:r w:rsidR="00FA2C26">
        <w:t xml:space="preserve"> M</w:t>
      </w:r>
      <w:r w:rsidRPr="004A47A1">
        <w:t xml:space="preserve">aaeluministeeriumi juhtimisel </w:t>
      </w:r>
      <w:r>
        <w:t xml:space="preserve">ÜPP strateegiakava </w:t>
      </w:r>
      <w:r w:rsidRPr="003C7309">
        <w:t>ettevalmistamisel toimunud arutelude käigus</w:t>
      </w:r>
      <w:r>
        <w:t xml:space="preserve">. </w:t>
      </w:r>
      <w:r w:rsidR="009C45A3">
        <w:t xml:space="preserve">Kuigi </w:t>
      </w:r>
      <w:r w:rsidR="0024574E">
        <w:t xml:space="preserve">Eesti puhas loodus ja </w:t>
      </w:r>
      <w:r w:rsidR="009C45A3" w:rsidRPr="00BD3B4D">
        <w:t xml:space="preserve">üldine keskkonnateadliku tarbimise populaarsuse kasv </w:t>
      </w:r>
      <w:r w:rsidR="009C4B28">
        <w:t>soosivad mesindusega tegelemist</w:t>
      </w:r>
      <w:r w:rsidR="009C45A3">
        <w:t>, jääb siin</w:t>
      </w:r>
      <w:r w:rsidR="009C45A3" w:rsidRPr="00BD3B4D">
        <w:t xml:space="preserve"> peetavate mesilasperede arv olemasolevast looduslike taimekoosluste meekorje potentsiaalist kaugele.</w:t>
      </w:r>
      <w:r w:rsidR="009C45A3" w:rsidRPr="009C45A3">
        <w:t xml:space="preserve"> </w:t>
      </w:r>
      <w:r w:rsidR="009C45A3" w:rsidRPr="00BD3B4D">
        <w:t xml:space="preserve">Mesilasperede arvukust mõjutab </w:t>
      </w:r>
      <w:r w:rsidR="0024574E">
        <w:t xml:space="preserve">väliste tegurite kõrval </w:t>
      </w:r>
      <w:r w:rsidR="009C4B28">
        <w:t xml:space="preserve">enim </w:t>
      </w:r>
      <w:r w:rsidR="0024574E">
        <w:t>sektori enda</w:t>
      </w:r>
      <w:r w:rsidR="009C45A3" w:rsidRPr="00BD3B4D">
        <w:t xml:space="preserve"> konkurentsivõime ja turule </w:t>
      </w:r>
      <w:r w:rsidR="009C45A3" w:rsidRPr="00BD3B4D">
        <w:lastRenderedPageBreak/>
        <w:t>orienteeritus. Konkurentsivõime ja turule orie</w:t>
      </w:r>
      <w:r w:rsidR="00F44D81">
        <w:t>nteerituse vähenedes väheneb ka mesilasperede arvukus</w:t>
      </w:r>
      <w:r w:rsidR="009C45A3" w:rsidRPr="00BD3B4D">
        <w:t>.</w:t>
      </w:r>
      <w:r w:rsidR="00A203F6">
        <w:t xml:space="preserve"> </w:t>
      </w:r>
      <w:r w:rsidR="00BD3B4D">
        <w:t>Mesindussektori</w:t>
      </w:r>
      <w:r w:rsidR="00CD7759">
        <w:t>sse</w:t>
      </w:r>
      <w:r w:rsidR="00BD3B4D">
        <w:t xml:space="preserve"> sekkumise eesmärgiks on mesindussektori konkurentsivõime ja turule o</w:t>
      </w:r>
      <w:r w:rsidR="0024574E">
        <w:t xml:space="preserve">rienteerituse suurendamine, aidates </w:t>
      </w:r>
      <w:r w:rsidR="006C3CAF">
        <w:t>kaasa</w:t>
      </w:r>
      <w:r w:rsidRPr="002F31E8">
        <w:t xml:space="preserve"> </w:t>
      </w:r>
      <w:r w:rsidR="007B42AB">
        <w:t xml:space="preserve">ÜPP strateegiakavade määruse </w:t>
      </w:r>
      <w:r w:rsidRPr="002F31E8">
        <w:t>artikli 6 lõikes 1 sätestatud erieesm</w:t>
      </w:r>
      <w:r>
        <w:t xml:space="preserve">ärkide valikust </w:t>
      </w:r>
      <w:r w:rsidR="00FA2C26" w:rsidRPr="00FA2C26">
        <w:t xml:space="preserve">alapunktis b nimetatud </w:t>
      </w:r>
      <w:r>
        <w:t>erieesmär</w:t>
      </w:r>
      <w:r w:rsidR="0024574E">
        <w:t>g</w:t>
      </w:r>
      <w:r w:rsidR="00FA2C26">
        <w:t>i saavutamisele. Viidatud erieesmärk</w:t>
      </w:r>
      <w:r w:rsidR="0024574E">
        <w:t xml:space="preserve"> (ÜPP strateegiakavas erieesmärk </w:t>
      </w:r>
      <w:r>
        <w:t>2</w:t>
      </w:r>
      <w:r w:rsidR="0024574E">
        <w:t>)</w:t>
      </w:r>
      <w:r>
        <w:t xml:space="preserve"> </w:t>
      </w:r>
      <w:r w:rsidR="0024574E">
        <w:t xml:space="preserve">seab sihiks </w:t>
      </w:r>
      <w:r w:rsidRPr="002F31E8">
        <w:t>suurendada konkurentsivõimet ja turule orienteeritust, pöörates erilist tähelepanu teadusuuringutele, tehnoloogiale ja digiüleminekule.</w:t>
      </w:r>
      <w:r w:rsidR="00A73940">
        <w:t xml:space="preserve"> Eesmärgi saavutamiseks kasutatakse </w:t>
      </w:r>
      <w:r w:rsidR="00C87927">
        <w:t>ÜPP s</w:t>
      </w:r>
      <w:r w:rsidR="00A73940">
        <w:t>trateegiakavade määruse artikli</w:t>
      </w:r>
      <w:r w:rsidR="00C87927">
        <w:t xml:space="preserve"> 55 </w:t>
      </w:r>
      <w:r w:rsidR="00A73940">
        <w:t xml:space="preserve">lõikes 1 </w:t>
      </w:r>
      <w:r w:rsidR="00C87927">
        <w:t xml:space="preserve">sätestatud </w:t>
      </w:r>
      <w:r w:rsidR="006C3CAF">
        <w:t>m</w:t>
      </w:r>
      <w:r>
        <w:t>esindussektori</w:t>
      </w:r>
      <w:r w:rsidR="00CD7759">
        <w:t>sse</w:t>
      </w:r>
      <w:r>
        <w:t xml:space="preserve"> sekkumis</w:t>
      </w:r>
      <w:r w:rsidR="00CD7759">
        <w:t xml:space="preserve">e </w:t>
      </w:r>
      <w:r>
        <w:t>viiside valikust järgmisi sekkumisviise:</w:t>
      </w:r>
    </w:p>
    <w:p w14:paraId="526A01DE" w14:textId="77777777" w:rsidR="002B1ABC" w:rsidRPr="001B2E0A" w:rsidRDefault="002B1ABC" w:rsidP="002B1ABC">
      <w:pPr>
        <w:jc w:val="both"/>
      </w:pPr>
      <w:r w:rsidRPr="00A617E6">
        <w:t xml:space="preserve">a) </w:t>
      </w:r>
      <w:r w:rsidRPr="001B2E0A">
        <w:t>mesinikele ja nende organisatsioonidele suunatud nõustamisteenused</w:t>
      </w:r>
      <w:r w:rsidRPr="00D750F6">
        <w:t>, tehniline abi,</w:t>
      </w:r>
      <w:r w:rsidRPr="001B2E0A">
        <w:t xml:space="preserve"> koolitus, teave ja parimate praktikate vahetamine, sealhulgas võrgustike kaudu;</w:t>
      </w:r>
    </w:p>
    <w:p w14:paraId="47D6715F" w14:textId="4FD3726E" w:rsidR="002B1ABC" w:rsidRDefault="002B1ABC" w:rsidP="002B1ABC">
      <w:pPr>
        <w:jc w:val="both"/>
      </w:pPr>
      <w:r w:rsidRPr="00A617E6">
        <w:t xml:space="preserve">b) investeeringud materiaalsesse ja immateriaalsesse varasse </w:t>
      </w:r>
      <w:r w:rsidR="00FA2C26">
        <w:t>ning muud tegevused</w:t>
      </w:r>
      <w:r w:rsidRPr="00FB5A7B">
        <w:t xml:space="preserve"> võitlus</w:t>
      </w:r>
      <w:r w:rsidR="00FA2C26">
        <w:t>eks</w:t>
      </w:r>
      <w:r w:rsidRPr="00FB5A7B">
        <w:t xml:space="preserve"> kahjurite ja mesilaste haigustega, eriti </w:t>
      </w:r>
      <w:r>
        <w:t>varroatoosi tõrje</w:t>
      </w:r>
      <w:r w:rsidRPr="00FB5A7B">
        <w:t>;</w:t>
      </w:r>
    </w:p>
    <w:p w14:paraId="08C82D8B" w14:textId="77777777" w:rsidR="002B1ABC" w:rsidRPr="001B2E0A" w:rsidRDefault="002B1ABC" w:rsidP="002B1ABC">
      <w:pPr>
        <w:jc w:val="both"/>
      </w:pPr>
      <w:r w:rsidRPr="00A617E6">
        <w:t xml:space="preserve">c) </w:t>
      </w:r>
      <w:r w:rsidRPr="001B2E0A">
        <w:t>tegevused laboratooriumide toetamiseks mesindustoodete, mesilaste kao või tootlikkuse languse ja mesilastele potentsiaalselt toksiliste ainete analüüsimise eest;</w:t>
      </w:r>
    </w:p>
    <w:p w14:paraId="0287F3C8" w14:textId="77777777" w:rsidR="002B1ABC" w:rsidRPr="001B2E0A" w:rsidRDefault="002B1ABC" w:rsidP="00021EE1">
      <w:pPr>
        <w:jc w:val="both"/>
      </w:pPr>
      <w:r w:rsidRPr="00A617E6">
        <w:t xml:space="preserve">d) </w:t>
      </w:r>
      <w:r w:rsidRPr="001B2E0A">
        <w:t>koostöö asutustega, kes on spetsialiseerunud mesindust ja mesindustooteid käsitlevate teadusprogrammide rakendamisele;</w:t>
      </w:r>
    </w:p>
    <w:p w14:paraId="34A001AB" w14:textId="77777777" w:rsidR="002B1ABC" w:rsidRPr="001B2E0A" w:rsidRDefault="002B1ABC" w:rsidP="00021EE1">
      <w:pPr>
        <w:jc w:val="both"/>
      </w:pPr>
      <w:r w:rsidRPr="00A617E6">
        <w:rPr>
          <w:lang w:eastAsia="en-GB"/>
        </w:rPr>
        <w:t xml:space="preserve">e) </w:t>
      </w:r>
      <w:r w:rsidRPr="001B2E0A">
        <w:rPr>
          <w:lang w:eastAsia="en-GB"/>
        </w:rPr>
        <w:t>müügiedendus, teavitustegevus ja turundus, sealhulgas turuseire ning tegevused, mille eesmärk on eelkõige tõsta tarbijate teadlikkust mesindustoodete kvaliteedist.</w:t>
      </w:r>
    </w:p>
    <w:p w14:paraId="796CD7EF" w14:textId="77777777" w:rsidR="002B1ABC" w:rsidRDefault="002B1ABC" w:rsidP="00021EE1">
      <w:pPr>
        <w:jc w:val="both"/>
      </w:pPr>
    </w:p>
    <w:p w14:paraId="66C5E0FA" w14:textId="10AA506C" w:rsidR="00B6448D" w:rsidRDefault="002B1ABC" w:rsidP="00F3622D">
      <w:pPr>
        <w:jc w:val="both"/>
      </w:pPr>
      <w:r>
        <w:t xml:space="preserve">Käesolev </w:t>
      </w:r>
      <w:r w:rsidR="000534C7">
        <w:t xml:space="preserve">määruse </w:t>
      </w:r>
      <w:r>
        <w:t>eelnõu o</w:t>
      </w:r>
      <w:r w:rsidR="00FA2C26">
        <w:t xml:space="preserve">n ette valmistatud </w:t>
      </w:r>
      <w:r>
        <w:t xml:space="preserve">ÜPP strateegiakavas ette nähtud </w:t>
      </w:r>
      <w:r w:rsidR="00203811">
        <w:t>teatud sektoritesse sekkumise viiside puhul mesindussektorile</w:t>
      </w:r>
      <w:r w:rsidR="000534C7">
        <w:t xml:space="preserve"> </w:t>
      </w:r>
      <w:r>
        <w:t>toetuse andmise</w:t>
      </w:r>
      <w:r w:rsidR="00FA2C26">
        <w:t>ks toetuse tingimuste kehtestamiseks</w:t>
      </w:r>
      <w:r>
        <w:t xml:space="preserve">. </w:t>
      </w:r>
      <w:r w:rsidRPr="002B1ABC">
        <w:t>Määrusega kehtestatakse nõ</w:t>
      </w:r>
      <w:r>
        <w:t>uded toetuse taotleja</w:t>
      </w:r>
      <w:r w:rsidRPr="002B1ABC">
        <w:t xml:space="preserve">le, </w:t>
      </w:r>
      <w:r>
        <w:t xml:space="preserve">taotleja poolt toetuse taotlemiseks koostatavale tegevuskavale ja tegevuskavas ette nähtavatele tegevustele, tegevuskava heakskiitmisele, </w:t>
      </w:r>
      <w:r w:rsidRPr="002B1ABC">
        <w:t xml:space="preserve">ning tegevuskava ja selles esitatud tegevuste kohta </w:t>
      </w:r>
      <w:r>
        <w:t>esitatavad nõuded</w:t>
      </w:r>
      <w:r w:rsidRPr="002B1ABC">
        <w:t>, toetuse määr ja suurus, abikõlblikud ja mitteabikõlblikud kulud, nõuded tegevusaruand</w:t>
      </w:r>
      <w:r>
        <w:t xml:space="preserve">ele, </w:t>
      </w:r>
      <w:r w:rsidRPr="002B1ABC">
        <w:t>maksetaotlusele ja kulusid tõendavatele dokumentidele ning toetuse maksmise tingimused ja kord.</w:t>
      </w:r>
    </w:p>
    <w:p w14:paraId="538CCB0C" w14:textId="1AB13891" w:rsidR="002B1ABC" w:rsidRDefault="002B1ABC" w:rsidP="00F3622D">
      <w:pPr>
        <w:jc w:val="both"/>
      </w:pPr>
    </w:p>
    <w:p w14:paraId="517FD31B" w14:textId="1144E27B" w:rsidR="003B30A6" w:rsidRPr="003A76CD" w:rsidRDefault="000B232F" w:rsidP="00794F5C">
      <w:pPr>
        <w:adjustRightInd w:val="0"/>
        <w:jc w:val="both"/>
        <w:rPr>
          <w:rFonts w:ascii="EUAlbertina" w:eastAsiaTheme="minorHAnsi" w:hAnsi="EUAlbertina"/>
          <w:color w:val="000000"/>
          <w:lang w:eastAsia="et-EE"/>
        </w:rPr>
      </w:pPr>
      <w:r>
        <w:rPr>
          <w:rFonts w:ascii="EUAlbertina" w:eastAsiaTheme="minorHAnsi" w:hAnsi="EUAlbertina"/>
          <w:color w:val="000000"/>
          <w:lang w:eastAsia="et-EE"/>
        </w:rPr>
        <w:t>ÜPP strateegiakava</w:t>
      </w:r>
      <w:r w:rsidR="00B6448D">
        <w:rPr>
          <w:rFonts w:ascii="EUAlbertina" w:eastAsiaTheme="minorHAnsi" w:hAnsi="EUAlbertina"/>
          <w:color w:val="000000"/>
          <w:lang w:eastAsia="et-EE"/>
        </w:rPr>
        <w:t>ga seonduvalt</w:t>
      </w:r>
      <w:r>
        <w:rPr>
          <w:rFonts w:ascii="EUAlbertina" w:eastAsiaTheme="minorHAnsi" w:hAnsi="EUAlbertina"/>
          <w:color w:val="000000"/>
          <w:lang w:eastAsia="et-EE"/>
        </w:rPr>
        <w:t xml:space="preserve"> panustab toetus lisaks erieesmärk 2-le </w:t>
      </w:r>
      <w:r w:rsidR="005201C1">
        <w:rPr>
          <w:rFonts w:ascii="EUAlbertina" w:eastAsiaTheme="minorHAnsi" w:hAnsi="EUAlbertina"/>
          <w:color w:val="000000"/>
          <w:lang w:eastAsia="et-EE"/>
        </w:rPr>
        <w:t xml:space="preserve">ka </w:t>
      </w:r>
      <w:r w:rsidR="005201C1" w:rsidRPr="005201C1">
        <w:rPr>
          <w:rFonts w:ascii="EUAlbertina" w:eastAsiaTheme="minorHAnsi" w:hAnsi="EUAlbertina"/>
          <w:color w:val="000000"/>
          <w:lang w:eastAsia="et-EE"/>
        </w:rPr>
        <w:t xml:space="preserve">mesinike </w:t>
      </w:r>
      <w:r w:rsidR="005201C1">
        <w:rPr>
          <w:rFonts w:ascii="EUAlbertina" w:eastAsiaTheme="minorHAnsi" w:hAnsi="EUAlbertina"/>
          <w:color w:val="000000"/>
          <w:lang w:eastAsia="et-EE"/>
        </w:rPr>
        <w:t xml:space="preserve">teadmiste ja oskuste parandamisele suunatud tegevuste kaudu </w:t>
      </w:r>
      <w:r w:rsidR="003A76CD">
        <w:rPr>
          <w:rFonts w:ascii="EUAlbertina" w:eastAsiaTheme="minorHAnsi" w:hAnsi="EUAlbertina"/>
          <w:color w:val="000000"/>
          <w:lang w:eastAsia="et-EE"/>
        </w:rPr>
        <w:t>horisontaalse</w:t>
      </w:r>
      <w:r>
        <w:rPr>
          <w:rFonts w:ascii="EUAlbertina" w:eastAsiaTheme="minorHAnsi" w:hAnsi="EUAlbertina"/>
          <w:color w:val="000000"/>
          <w:lang w:eastAsia="et-EE"/>
        </w:rPr>
        <w:t xml:space="preserve"> eesmärg</w:t>
      </w:r>
      <w:r w:rsidR="00761D17">
        <w:rPr>
          <w:rFonts w:ascii="EUAlbertina" w:eastAsiaTheme="minorHAnsi" w:hAnsi="EUAlbertina"/>
          <w:color w:val="000000"/>
          <w:lang w:eastAsia="et-EE"/>
        </w:rPr>
        <w:t>i</w:t>
      </w:r>
      <w:r>
        <w:rPr>
          <w:rFonts w:ascii="EUAlbertina" w:eastAsiaTheme="minorHAnsi" w:hAnsi="EUAlbertina"/>
          <w:color w:val="000000"/>
          <w:lang w:eastAsia="et-EE"/>
        </w:rPr>
        <w:t xml:space="preserve"> </w:t>
      </w:r>
      <w:r w:rsidR="003A76CD">
        <w:rPr>
          <w:rFonts w:ascii="EUAlbertina" w:eastAsiaTheme="minorHAnsi" w:hAnsi="EUAlbertina"/>
          <w:color w:val="000000"/>
          <w:lang w:eastAsia="et-EE"/>
        </w:rPr>
        <w:t>saavutamisess</w:t>
      </w:r>
      <w:r>
        <w:rPr>
          <w:rFonts w:ascii="EUAlbertina" w:eastAsiaTheme="minorHAnsi" w:hAnsi="EUAlbertina"/>
          <w:color w:val="000000"/>
          <w:lang w:eastAsia="et-EE"/>
        </w:rPr>
        <w:t xml:space="preserve">e. </w:t>
      </w:r>
      <w:r w:rsidR="003A76CD">
        <w:rPr>
          <w:rFonts w:ascii="EUAlbertina" w:eastAsiaTheme="minorHAnsi" w:hAnsi="EUAlbertina"/>
          <w:color w:val="000000"/>
          <w:lang w:eastAsia="et-EE"/>
        </w:rPr>
        <w:t xml:space="preserve">ÜPP strateegiakava horisontaalseks eesmärgiks on </w:t>
      </w:r>
      <w:r w:rsidR="0084029B">
        <w:rPr>
          <w:rFonts w:ascii="EUAlbertina" w:eastAsiaTheme="minorHAnsi" w:hAnsi="EUAlbertina"/>
          <w:color w:val="000000"/>
          <w:lang w:eastAsia="et-EE"/>
        </w:rPr>
        <w:t>põllumajandus</w:t>
      </w:r>
      <w:r>
        <w:rPr>
          <w:rFonts w:ascii="EUAlbertina" w:eastAsiaTheme="minorHAnsi" w:hAnsi="EUAlbertina"/>
          <w:color w:val="000000"/>
          <w:lang w:eastAsia="et-EE"/>
        </w:rPr>
        <w:t>s</w:t>
      </w:r>
      <w:r w:rsidRPr="000B232F">
        <w:rPr>
          <w:rFonts w:ascii="EUAlbertina" w:eastAsiaTheme="minorHAnsi" w:hAnsi="EUAlbertina"/>
          <w:color w:val="000000"/>
          <w:lang w:eastAsia="et-EE"/>
        </w:rPr>
        <w:t>ektori</w:t>
      </w:r>
      <w:r w:rsidR="0084029B">
        <w:rPr>
          <w:rFonts w:ascii="EUAlbertina" w:eastAsiaTheme="minorHAnsi" w:hAnsi="EUAlbertina"/>
          <w:color w:val="000000"/>
          <w:lang w:eastAsia="et-EE"/>
        </w:rPr>
        <w:t xml:space="preserve"> </w:t>
      </w:r>
      <w:r w:rsidRPr="000B232F">
        <w:rPr>
          <w:rFonts w:ascii="EUAlbertina" w:eastAsiaTheme="minorHAnsi" w:hAnsi="EUAlbertina"/>
          <w:color w:val="000000"/>
          <w:lang w:eastAsia="et-EE"/>
        </w:rPr>
        <w:t>ülese eesmärgina sektori kaasajastamine teadmiste edendamise ja jagamise, innovatsiooni ja digiülemineku abil põllumajanduses ja maapiirkondades ning ergutades nende kasutuselevõttu</w:t>
      </w:r>
      <w:r>
        <w:rPr>
          <w:rFonts w:ascii="EUAlbertina" w:eastAsiaTheme="minorHAnsi" w:hAnsi="EUAlbertina"/>
          <w:color w:val="000000"/>
          <w:lang w:eastAsia="et-EE"/>
        </w:rPr>
        <w:t>.</w:t>
      </w:r>
      <w:r w:rsidR="003A76CD">
        <w:rPr>
          <w:rFonts w:ascii="EUAlbertina" w:eastAsiaTheme="minorHAnsi" w:hAnsi="EUAlbertina"/>
          <w:color w:val="000000"/>
          <w:lang w:eastAsia="et-EE"/>
        </w:rPr>
        <w:t xml:space="preserve"> </w:t>
      </w:r>
      <w:r w:rsidR="007A1124">
        <w:rPr>
          <w:rFonts w:eastAsiaTheme="minorHAnsi"/>
          <w:color w:val="000000"/>
        </w:rPr>
        <w:t>Tegevuspõhise riigieelarvega seonduvalt</w:t>
      </w:r>
      <w:r w:rsidR="00794F5C" w:rsidRPr="009D39B0">
        <w:rPr>
          <w:rFonts w:eastAsiaTheme="minorHAnsi"/>
          <w:color w:val="000000"/>
        </w:rPr>
        <w:t xml:space="preserve"> panustab toetus</w:t>
      </w:r>
      <w:r w:rsidR="00794F5C" w:rsidRPr="009D39B0">
        <w:rPr>
          <w:rFonts w:ascii="EUAlbertina" w:eastAsiaTheme="minorHAnsi" w:hAnsi="EUAlbertina" w:cs="EUAlbertina"/>
          <w:color w:val="000000"/>
          <w:sz w:val="19"/>
          <w:szCs w:val="19"/>
        </w:rPr>
        <w:t xml:space="preserve"> „</w:t>
      </w:r>
      <w:r w:rsidR="00794F5C" w:rsidRPr="009D39B0">
        <w:rPr>
          <w:rFonts w:eastAsiaTheme="minorHAnsi"/>
          <w:shd w:val="clear" w:color="auto" w:fill="FFFFFF"/>
        </w:rPr>
        <w:t>Põllumajanduse ja kalanduse valdkonna arengukava aast</w:t>
      </w:r>
      <w:r w:rsidR="00F33CD7">
        <w:rPr>
          <w:rFonts w:eastAsiaTheme="minorHAnsi"/>
          <w:shd w:val="clear" w:color="auto" w:fill="FFFFFF"/>
        </w:rPr>
        <w:t>ani 2030“ põllumajandussaaduste tootmise, väärindamise ja turustamise</w:t>
      </w:r>
      <w:r w:rsidR="003B30A6">
        <w:rPr>
          <w:rFonts w:eastAsiaTheme="minorHAnsi"/>
          <w:shd w:val="clear" w:color="auto" w:fill="FFFFFF"/>
        </w:rPr>
        <w:t xml:space="preserve"> tegevussuuna eesmärkidesse (</w:t>
      </w:r>
      <w:r w:rsidR="00F33CD7" w:rsidRPr="00F33CD7">
        <w:rPr>
          <w:rFonts w:eastAsiaTheme="minorHAnsi"/>
          <w:shd w:val="clear" w:color="auto" w:fill="FFFFFF"/>
        </w:rPr>
        <w:t>Eesti toiduainesektor on konkurentsivõimeline nii sise- kui ka välisturul</w:t>
      </w:r>
      <w:r w:rsidR="003B30A6">
        <w:rPr>
          <w:rFonts w:eastAsiaTheme="minorHAnsi"/>
          <w:shd w:val="clear" w:color="auto" w:fill="FFFFFF"/>
        </w:rPr>
        <w:t>;</w:t>
      </w:r>
      <w:r w:rsidR="00F33CD7">
        <w:rPr>
          <w:rFonts w:eastAsiaTheme="minorHAnsi"/>
          <w:shd w:val="clear" w:color="auto" w:fill="FFFFFF"/>
        </w:rPr>
        <w:t xml:space="preserve"> t</w:t>
      </w:r>
      <w:r w:rsidR="00F33CD7" w:rsidRPr="00F33CD7">
        <w:rPr>
          <w:rFonts w:eastAsiaTheme="minorHAnsi"/>
          <w:shd w:val="clear" w:color="auto" w:fill="FFFFFF"/>
        </w:rPr>
        <w:t>ootja positsioon turul on tugev</w:t>
      </w:r>
      <w:r w:rsidR="003B30A6">
        <w:rPr>
          <w:rFonts w:eastAsiaTheme="minorHAnsi"/>
          <w:shd w:val="clear" w:color="auto" w:fill="FFFFFF"/>
        </w:rPr>
        <w:t xml:space="preserve">; </w:t>
      </w:r>
      <w:r w:rsidR="00F33CD7" w:rsidRPr="00F33CD7">
        <w:rPr>
          <w:color w:val="000000"/>
          <w:lang w:eastAsia="et-EE"/>
        </w:rPr>
        <w:t>Eesti tarbijad eelistavad ja tarbivad Eestis toodetud toitu</w:t>
      </w:r>
      <w:r w:rsidR="003B30A6">
        <w:rPr>
          <w:color w:val="000000"/>
          <w:lang w:eastAsia="et-EE"/>
        </w:rPr>
        <w:t>) ning t</w:t>
      </w:r>
      <w:r w:rsidR="003B30A6" w:rsidRPr="003B30A6">
        <w:rPr>
          <w:color w:val="000000"/>
          <w:lang w:eastAsia="et-EE"/>
        </w:rPr>
        <w:t>eadus</w:t>
      </w:r>
      <w:r w:rsidR="003B30A6">
        <w:rPr>
          <w:color w:val="000000"/>
          <w:lang w:eastAsia="et-EE"/>
        </w:rPr>
        <w:t>e</w:t>
      </w:r>
      <w:r w:rsidR="003B30A6" w:rsidRPr="003B30A6">
        <w:rPr>
          <w:color w:val="000000"/>
          <w:lang w:eastAsia="et-EE"/>
        </w:rPr>
        <w:t xml:space="preserve"> ja innovatsioon</w:t>
      </w:r>
      <w:r w:rsidR="003B30A6">
        <w:rPr>
          <w:color w:val="000000"/>
          <w:lang w:eastAsia="et-EE"/>
        </w:rPr>
        <w:t>i</w:t>
      </w:r>
      <w:r w:rsidR="003B30A6" w:rsidRPr="003B30A6">
        <w:rPr>
          <w:color w:val="000000"/>
          <w:lang w:eastAsia="et-EE"/>
        </w:rPr>
        <w:t xml:space="preserve"> ning teadmussiir</w:t>
      </w:r>
      <w:r w:rsidR="003B30A6">
        <w:rPr>
          <w:color w:val="000000"/>
          <w:lang w:eastAsia="et-EE"/>
        </w:rPr>
        <w:t>d</w:t>
      </w:r>
      <w:r w:rsidR="003B30A6" w:rsidRPr="003B30A6">
        <w:rPr>
          <w:color w:val="000000"/>
          <w:lang w:eastAsia="et-EE"/>
        </w:rPr>
        <w:t>e</w:t>
      </w:r>
      <w:r w:rsidR="003B30A6">
        <w:rPr>
          <w:color w:val="000000"/>
          <w:lang w:eastAsia="et-EE"/>
        </w:rPr>
        <w:t xml:space="preserve"> tegevussuuna eesmärki (t</w:t>
      </w:r>
      <w:r w:rsidR="003B30A6" w:rsidRPr="003B30A6">
        <w:rPr>
          <w:color w:val="000000"/>
          <w:lang w:eastAsia="et-EE"/>
        </w:rPr>
        <w:t>eadmiste loome ja teadmussiire toetab põllumajanduse ja kalanduse valdkonna eesmärkide saavutamist</w:t>
      </w:r>
      <w:r w:rsidR="003B30A6">
        <w:rPr>
          <w:color w:val="000000"/>
          <w:lang w:eastAsia="et-EE"/>
        </w:rPr>
        <w:t>)</w:t>
      </w:r>
      <w:r w:rsidR="003B30A6" w:rsidRPr="003B30A6">
        <w:rPr>
          <w:color w:val="000000"/>
          <w:lang w:eastAsia="et-EE"/>
        </w:rPr>
        <w:t>.</w:t>
      </w:r>
      <w:r w:rsidR="0051487D">
        <w:rPr>
          <w:color w:val="000000"/>
          <w:lang w:eastAsia="et-EE"/>
        </w:rPr>
        <w:t xml:space="preserve"> </w:t>
      </w:r>
      <w:r w:rsidR="00C832F8">
        <w:rPr>
          <w:color w:val="000000"/>
          <w:lang w:eastAsia="et-EE"/>
        </w:rPr>
        <w:t>Toetuse andmine nähakse ette</w:t>
      </w:r>
      <w:r w:rsidR="007A1124">
        <w:rPr>
          <w:color w:val="000000"/>
          <w:lang w:eastAsia="et-EE"/>
        </w:rPr>
        <w:t xml:space="preserve"> </w:t>
      </w:r>
      <w:r w:rsidR="00C832F8">
        <w:rPr>
          <w:color w:val="000000"/>
          <w:lang w:eastAsia="et-EE"/>
        </w:rPr>
        <w:t xml:space="preserve">maaeluministri kinnitatud </w:t>
      </w:r>
      <w:r w:rsidR="007A1124">
        <w:rPr>
          <w:color w:val="000000"/>
          <w:lang w:eastAsia="et-EE"/>
        </w:rPr>
        <w:t>p</w:t>
      </w:r>
      <w:r w:rsidR="0051487D">
        <w:rPr>
          <w:color w:val="000000"/>
          <w:lang w:eastAsia="et-EE"/>
        </w:rPr>
        <w:t>rogrammi „Põllumajandus, toit ja maaelu 2023–2026“</w:t>
      </w:r>
      <w:r w:rsidR="007A1124">
        <w:rPr>
          <w:color w:val="000000"/>
          <w:lang w:eastAsia="et-EE"/>
        </w:rPr>
        <w:t xml:space="preserve"> </w:t>
      </w:r>
      <w:r w:rsidR="00C832F8">
        <w:rPr>
          <w:color w:val="000000"/>
          <w:lang w:eastAsia="et-EE"/>
        </w:rPr>
        <w:t xml:space="preserve">meetme „Põllumajandussaaduste tootmine, väärindamine ja turustamine“ </w:t>
      </w:r>
      <w:r w:rsidR="007A1124">
        <w:rPr>
          <w:color w:val="000000"/>
          <w:lang w:eastAsia="et-EE"/>
        </w:rPr>
        <w:t>tegevus</w:t>
      </w:r>
      <w:r w:rsidR="00C832F8">
        <w:rPr>
          <w:color w:val="000000"/>
          <w:lang w:eastAsia="et-EE"/>
        </w:rPr>
        <w:t>e „Põllumajandustootjate ja toiduainetööstuste konkurentsivõime“ hulgas.</w:t>
      </w:r>
      <w:r w:rsidR="007A1124">
        <w:rPr>
          <w:color w:val="000000"/>
          <w:lang w:eastAsia="et-EE"/>
        </w:rPr>
        <w:t xml:space="preserve"> </w:t>
      </w:r>
      <w:r w:rsidR="0051487D">
        <w:rPr>
          <w:color w:val="000000"/>
          <w:lang w:eastAsia="et-EE"/>
        </w:rPr>
        <w:t xml:space="preserve"> </w:t>
      </w:r>
    </w:p>
    <w:p w14:paraId="3021B153" w14:textId="77777777" w:rsidR="00794F5C" w:rsidRPr="009D39B0" w:rsidRDefault="00794F5C" w:rsidP="00794F5C">
      <w:pPr>
        <w:autoSpaceDE/>
        <w:autoSpaceDN/>
        <w:jc w:val="both"/>
        <w:rPr>
          <w:rFonts w:eastAsiaTheme="minorHAnsi"/>
          <w:szCs w:val="22"/>
        </w:rPr>
      </w:pPr>
    </w:p>
    <w:p w14:paraId="3643047D" w14:textId="1B8BBAF5" w:rsidR="006B7488" w:rsidRDefault="006B7488" w:rsidP="007B596E">
      <w:pPr>
        <w:autoSpaceDE/>
        <w:autoSpaceDN/>
        <w:jc w:val="both"/>
        <w:rPr>
          <w:rFonts w:eastAsiaTheme="minorHAnsi"/>
          <w:szCs w:val="22"/>
        </w:rPr>
      </w:pPr>
      <w:r w:rsidRPr="006B7488">
        <w:rPr>
          <w:rFonts w:eastAsiaTheme="minorHAnsi"/>
          <w:szCs w:val="22"/>
        </w:rPr>
        <w:t xml:space="preserve">Toetust antakse ühele </w:t>
      </w:r>
      <w:r w:rsidR="00311FFB">
        <w:rPr>
          <w:rFonts w:eastAsiaTheme="minorHAnsi"/>
          <w:szCs w:val="22"/>
        </w:rPr>
        <w:t xml:space="preserve">vähemalt kolmest </w:t>
      </w:r>
      <w:r w:rsidRPr="006B7488">
        <w:rPr>
          <w:rFonts w:eastAsiaTheme="minorHAnsi"/>
          <w:szCs w:val="22"/>
        </w:rPr>
        <w:t>m</w:t>
      </w:r>
      <w:r w:rsidR="00311FFB">
        <w:rPr>
          <w:rFonts w:eastAsiaTheme="minorHAnsi"/>
          <w:szCs w:val="22"/>
        </w:rPr>
        <w:t xml:space="preserve">esindussektori organisatsioonist </w:t>
      </w:r>
      <w:r w:rsidRPr="006B7488">
        <w:rPr>
          <w:rFonts w:eastAsiaTheme="minorHAnsi"/>
          <w:szCs w:val="22"/>
        </w:rPr>
        <w:t>mood</w:t>
      </w:r>
      <w:r w:rsidR="00311FFB">
        <w:rPr>
          <w:rFonts w:eastAsiaTheme="minorHAnsi"/>
          <w:szCs w:val="22"/>
        </w:rPr>
        <w:t>ustatud mesinduskogule</w:t>
      </w:r>
      <w:r w:rsidRPr="006B7488">
        <w:rPr>
          <w:rFonts w:eastAsiaTheme="minorHAnsi"/>
          <w:szCs w:val="22"/>
        </w:rPr>
        <w:t>, kelle liikmed on ÜPP strateegiakavas sätestatud mesindussektori</w:t>
      </w:r>
      <w:r w:rsidR="00CD7759">
        <w:rPr>
          <w:rFonts w:eastAsiaTheme="minorHAnsi"/>
          <w:szCs w:val="22"/>
        </w:rPr>
        <w:t>sse</w:t>
      </w:r>
      <w:r w:rsidRPr="006B7488">
        <w:rPr>
          <w:rFonts w:eastAsiaTheme="minorHAnsi"/>
          <w:szCs w:val="22"/>
        </w:rPr>
        <w:t xml:space="preserve"> sekkumise eesmärgi saavutamise ja toetuse taotlemise osas kokku leppinud ning kes partnerina kaasab lepingu alusel vähemalt ühe mesinduse või meetoodete uuringuid teostava teadus- ja arendusasutuse või põllumajanduse ja maaelu valdkonnas küllaldast kogemust ja ekspertteadmisi omava isiku.</w:t>
      </w:r>
      <w:r>
        <w:rPr>
          <w:rFonts w:eastAsiaTheme="minorHAnsi"/>
          <w:szCs w:val="22"/>
        </w:rPr>
        <w:t xml:space="preserve"> M</w:t>
      </w:r>
      <w:r w:rsidRPr="006B7488">
        <w:rPr>
          <w:rFonts w:eastAsiaTheme="minorHAnsi"/>
          <w:szCs w:val="22"/>
        </w:rPr>
        <w:t>esindussektori</w:t>
      </w:r>
      <w:r w:rsidR="00CD7759">
        <w:rPr>
          <w:rFonts w:eastAsiaTheme="minorHAnsi"/>
          <w:szCs w:val="22"/>
        </w:rPr>
        <w:t>sse</w:t>
      </w:r>
      <w:r w:rsidRPr="006B7488">
        <w:rPr>
          <w:rFonts w:eastAsiaTheme="minorHAnsi"/>
          <w:szCs w:val="22"/>
        </w:rPr>
        <w:t xml:space="preserve"> sekkumise eesmärgi saavutamiseks ja toetuse taotlemiseks </w:t>
      </w:r>
      <w:r>
        <w:rPr>
          <w:rFonts w:eastAsiaTheme="minorHAnsi"/>
          <w:szCs w:val="22"/>
        </w:rPr>
        <w:t xml:space="preserve">koostab mesinduskogu </w:t>
      </w:r>
      <w:r w:rsidR="00311FFB">
        <w:rPr>
          <w:rFonts w:eastAsiaTheme="minorHAnsi"/>
          <w:szCs w:val="22"/>
        </w:rPr>
        <w:t xml:space="preserve">kõiki sekkumisviise hõlmava 3-aastase </w:t>
      </w:r>
      <w:r w:rsidRPr="006B7488">
        <w:rPr>
          <w:rFonts w:eastAsiaTheme="minorHAnsi"/>
          <w:szCs w:val="22"/>
        </w:rPr>
        <w:t>teg</w:t>
      </w:r>
      <w:r>
        <w:rPr>
          <w:rFonts w:eastAsiaTheme="minorHAnsi"/>
          <w:szCs w:val="22"/>
        </w:rPr>
        <w:t>evuskava, mis esitatakse heaks kiitmiseks</w:t>
      </w:r>
      <w:r w:rsidRPr="006B7488">
        <w:rPr>
          <w:rFonts w:eastAsiaTheme="minorHAnsi"/>
          <w:szCs w:val="22"/>
        </w:rPr>
        <w:t xml:space="preserve"> </w:t>
      </w:r>
      <w:r>
        <w:rPr>
          <w:rFonts w:eastAsiaTheme="minorHAnsi"/>
          <w:szCs w:val="22"/>
        </w:rPr>
        <w:t xml:space="preserve">PRIA-le. </w:t>
      </w:r>
      <w:r w:rsidRPr="006B7488">
        <w:rPr>
          <w:rFonts w:eastAsiaTheme="minorHAnsi"/>
          <w:szCs w:val="22"/>
        </w:rPr>
        <w:t>Heaks kiidetakse ja toetust antakse vaid tegevuskavade paremusjärjestuses esimesele kohale tulnud tegevuskava esitanud mesinduskogule.</w:t>
      </w:r>
      <w:r w:rsidR="00311FFB">
        <w:rPr>
          <w:rFonts w:eastAsiaTheme="minorHAnsi"/>
          <w:szCs w:val="22"/>
        </w:rPr>
        <w:t xml:space="preserve"> </w:t>
      </w:r>
      <w:r w:rsidRPr="006B7488">
        <w:rPr>
          <w:rFonts w:eastAsiaTheme="minorHAnsi"/>
          <w:szCs w:val="22"/>
        </w:rPr>
        <w:t xml:space="preserve">Toetuse lõppkasusaajateks on </w:t>
      </w:r>
      <w:r w:rsidR="00311FFB">
        <w:rPr>
          <w:rFonts w:eastAsiaTheme="minorHAnsi"/>
          <w:szCs w:val="22"/>
        </w:rPr>
        <w:t xml:space="preserve">mesinikud – </w:t>
      </w:r>
      <w:r w:rsidRPr="006B7488">
        <w:rPr>
          <w:rFonts w:eastAsiaTheme="minorHAnsi"/>
          <w:szCs w:val="22"/>
        </w:rPr>
        <w:t xml:space="preserve">nii mesindusorganisatsioonide kaudu mesinduskogusse kuuluvad </w:t>
      </w:r>
      <w:r w:rsidR="00311FFB">
        <w:rPr>
          <w:rFonts w:eastAsiaTheme="minorHAnsi"/>
          <w:szCs w:val="22"/>
        </w:rPr>
        <w:t>kui mitte kuuluvad</w:t>
      </w:r>
      <w:r w:rsidRPr="006B7488">
        <w:rPr>
          <w:rFonts w:eastAsiaTheme="minorHAnsi"/>
          <w:szCs w:val="22"/>
        </w:rPr>
        <w:t>.</w:t>
      </w:r>
      <w:r w:rsidRPr="006B7488">
        <w:t xml:space="preserve"> </w:t>
      </w:r>
      <w:r w:rsidR="00311FFB">
        <w:t xml:space="preserve">Eeldatav </w:t>
      </w:r>
      <w:r w:rsidR="00E10E8D">
        <w:t xml:space="preserve">otseste </w:t>
      </w:r>
      <w:r w:rsidR="00311FFB">
        <w:t xml:space="preserve">lõppkasusaajate arv läbi </w:t>
      </w:r>
      <w:r w:rsidR="006B40F7">
        <w:t xml:space="preserve">kõikide </w:t>
      </w:r>
      <w:r w:rsidR="00311FFB">
        <w:t xml:space="preserve">tegevuskavas sisalduvate </w:t>
      </w:r>
      <w:r w:rsidR="001952AF">
        <w:t xml:space="preserve">erinevate </w:t>
      </w:r>
      <w:r w:rsidR="00311FFB">
        <w:lastRenderedPageBreak/>
        <w:t xml:space="preserve">tegevuste </w:t>
      </w:r>
      <w:r w:rsidR="00E10E8D">
        <w:t xml:space="preserve">ulatub ca 2/3 </w:t>
      </w:r>
      <w:r w:rsidR="007B596E">
        <w:t xml:space="preserve">kõikidest Eesti mesinikest, kaudselt aga </w:t>
      </w:r>
      <w:r w:rsidR="007B596E" w:rsidRPr="00E10E8D">
        <w:t>saavad to</w:t>
      </w:r>
      <w:r w:rsidR="007B596E">
        <w:t xml:space="preserve">etusest </w:t>
      </w:r>
      <w:r w:rsidR="007B596E" w:rsidRPr="00E10E8D">
        <w:t>nt tarbijate teadlikkuse suurendamise</w:t>
      </w:r>
      <w:r w:rsidR="007B596E">
        <w:t xml:space="preserve">le suunatud tegevuste kaudu kasu </w:t>
      </w:r>
      <w:r w:rsidR="007B596E" w:rsidRPr="00E10E8D">
        <w:t>kõik Eesti mesinikud.</w:t>
      </w:r>
      <w:r w:rsidR="007B596E">
        <w:t xml:space="preserve"> </w:t>
      </w:r>
    </w:p>
    <w:p w14:paraId="15F7EC43" w14:textId="77777777" w:rsidR="00794F5C" w:rsidRDefault="00794F5C" w:rsidP="00F3622D">
      <w:pPr>
        <w:jc w:val="both"/>
      </w:pPr>
    </w:p>
    <w:p w14:paraId="5B566D37" w14:textId="68C984C8" w:rsidR="003C7309" w:rsidRDefault="002B1ABC" w:rsidP="00F3622D">
      <w:pPr>
        <w:jc w:val="both"/>
      </w:pPr>
      <w:r>
        <w:t>Eelnõu ja seletuskirja on koostanud Maaeluministeeriumi</w:t>
      </w:r>
      <w:r w:rsidRPr="002B1ABC">
        <w:t xml:space="preserve"> </w:t>
      </w:r>
      <w:r w:rsidRPr="00A97723">
        <w:t>põllumajanduspoliitika osakonna</w:t>
      </w:r>
      <w:r>
        <w:t xml:space="preserve"> nõunik </w:t>
      </w:r>
      <w:r w:rsidRPr="00A97723">
        <w:t>Kalev Karisalu</w:t>
      </w:r>
      <w:r>
        <w:t xml:space="preserve"> (6256 517, </w:t>
      </w:r>
      <w:hyperlink r:id="rId7" w:history="1">
        <w:r w:rsidRPr="00D53BAA">
          <w:rPr>
            <w:rStyle w:val="Hyperlink"/>
          </w:rPr>
          <w:t>kalev.karisalu@agri.ee</w:t>
        </w:r>
      </w:hyperlink>
      <w:r>
        <w:t xml:space="preserve">). </w:t>
      </w:r>
      <w:r w:rsidRPr="001A67BC">
        <w:t xml:space="preserve">Juriidilise ekspertiisi on eelnõule teinud Maaeluministeeriumi õigusosakonna nõunik Jaana Lepik (625 6202, </w:t>
      </w:r>
      <w:hyperlink r:id="rId8" w:history="1">
        <w:r w:rsidRPr="00D3444B">
          <w:rPr>
            <w:rStyle w:val="Hyperlink"/>
          </w:rPr>
          <w:t>jaana.lepik@agri.ee</w:t>
        </w:r>
      </w:hyperlink>
      <w:r w:rsidRPr="001A67BC">
        <w:t>)</w:t>
      </w:r>
      <w:r>
        <w:t xml:space="preserve">  ning</w:t>
      </w:r>
      <w:r w:rsidRPr="001A67BC">
        <w:t xml:space="preserve"> eelnõu toimetas keeleliselt sama osakonna peaspetsialist Laura Ojava (625 6523, laura.ojava@agri.ee).</w:t>
      </w:r>
    </w:p>
    <w:p w14:paraId="1DA8B95D" w14:textId="77777777" w:rsidR="00751DDC" w:rsidRDefault="00751DDC" w:rsidP="00F3622D">
      <w:pPr>
        <w:jc w:val="both"/>
      </w:pPr>
    </w:p>
    <w:p w14:paraId="6CDBEB37" w14:textId="77777777" w:rsidR="002D6483" w:rsidRDefault="002D6483" w:rsidP="002D6483">
      <w:pPr>
        <w:jc w:val="both"/>
        <w:rPr>
          <w:b/>
          <w:bCs/>
        </w:rPr>
      </w:pPr>
      <w:r w:rsidRPr="002D6483">
        <w:rPr>
          <w:b/>
          <w:bCs/>
        </w:rPr>
        <w:t>2. Eelnõu sisu ja võrdlev analüüs</w:t>
      </w:r>
    </w:p>
    <w:p w14:paraId="4BDB934B" w14:textId="77777777" w:rsidR="002D6483" w:rsidRDefault="002D6483" w:rsidP="002D6483">
      <w:pPr>
        <w:jc w:val="both"/>
        <w:rPr>
          <w:b/>
          <w:bCs/>
        </w:rPr>
      </w:pPr>
    </w:p>
    <w:p w14:paraId="41AE76E4" w14:textId="4A09C441" w:rsidR="000534C7" w:rsidRDefault="000534C7" w:rsidP="000534C7">
      <w:pPr>
        <w:autoSpaceDE/>
        <w:autoSpaceDN/>
        <w:jc w:val="both"/>
        <w:rPr>
          <w:bCs/>
          <w:lang w:eastAsia="et-EE"/>
        </w:rPr>
      </w:pPr>
      <w:r w:rsidRPr="00BC6063">
        <w:rPr>
          <w:bCs/>
          <w:lang w:eastAsia="et-EE"/>
        </w:rPr>
        <w:t>Määruse eelnõ</w:t>
      </w:r>
      <w:r>
        <w:rPr>
          <w:bCs/>
          <w:lang w:eastAsia="et-EE"/>
        </w:rPr>
        <w:t xml:space="preserve">u (edaspidi </w:t>
      </w:r>
      <w:r w:rsidRPr="000534C7">
        <w:rPr>
          <w:bCs/>
          <w:i/>
          <w:lang w:eastAsia="et-EE"/>
        </w:rPr>
        <w:t>eelnõu</w:t>
      </w:r>
      <w:r>
        <w:rPr>
          <w:bCs/>
          <w:lang w:eastAsia="et-EE"/>
        </w:rPr>
        <w:t>) koosneb seitsmest peatükist ja 2</w:t>
      </w:r>
      <w:r w:rsidR="00DF3F54">
        <w:rPr>
          <w:bCs/>
          <w:lang w:eastAsia="et-EE"/>
        </w:rPr>
        <w:t>3</w:t>
      </w:r>
      <w:r w:rsidRPr="008B5555">
        <w:rPr>
          <w:bCs/>
          <w:lang w:eastAsia="et-EE"/>
        </w:rPr>
        <w:t xml:space="preserve"> paragrahvist.</w:t>
      </w:r>
      <w:r w:rsidR="000503CB">
        <w:rPr>
          <w:bCs/>
          <w:lang w:eastAsia="et-EE"/>
        </w:rPr>
        <w:t xml:space="preserve"> </w:t>
      </w:r>
    </w:p>
    <w:p w14:paraId="5D13F014" w14:textId="77777777" w:rsidR="000534C7" w:rsidRDefault="000534C7" w:rsidP="000534C7">
      <w:pPr>
        <w:autoSpaceDE/>
        <w:autoSpaceDN/>
        <w:jc w:val="both"/>
        <w:rPr>
          <w:bCs/>
          <w:lang w:eastAsia="et-EE"/>
        </w:rPr>
      </w:pPr>
    </w:p>
    <w:p w14:paraId="60EE14A4" w14:textId="797E2E2A" w:rsidR="000534C7" w:rsidRDefault="000534C7" w:rsidP="000534C7">
      <w:pPr>
        <w:jc w:val="both"/>
      </w:pPr>
      <w:r>
        <w:rPr>
          <w:b/>
          <w:bCs/>
          <w:lang w:eastAsia="et-EE"/>
        </w:rPr>
        <w:t>Eelnõu §-ga</w:t>
      </w:r>
      <w:r w:rsidRPr="00BC6063">
        <w:rPr>
          <w:b/>
          <w:bCs/>
          <w:lang w:eastAsia="et-EE"/>
        </w:rPr>
        <w:t xml:space="preserve"> 1</w:t>
      </w:r>
      <w:r w:rsidRPr="00BC6063">
        <w:rPr>
          <w:bCs/>
          <w:lang w:eastAsia="et-EE"/>
        </w:rPr>
        <w:t xml:space="preserve"> kehtestatakse määruse reguleerimisala. </w:t>
      </w:r>
      <w:r w:rsidRPr="00A5110C">
        <w:rPr>
          <w:bCs/>
          <w:noProof/>
        </w:rPr>
        <w:t xml:space="preserve">Eelnõu </w:t>
      </w:r>
      <w:r>
        <w:rPr>
          <w:bCs/>
          <w:noProof/>
        </w:rPr>
        <w:t>eesmärgiks</w:t>
      </w:r>
      <w:r w:rsidRPr="00A5110C">
        <w:rPr>
          <w:bCs/>
          <w:noProof/>
        </w:rPr>
        <w:t xml:space="preserve"> on kehtestada </w:t>
      </w:r>
      <w:r>
        <w:rPr>
          <w:bCs/>
          <w:noProof/>
        </w:rPr>
        <w:t>ÜPP strateegiakavas sätestatud mesindussektori</w:t>
      </w:r>
      <w:r w:rsidR="00CD7759">
        <w:rPr>
          <w:bCs/>
          <w:noProof/>
        </w:rPr>
        <w:t>sse</w:t>
      </w:r>
      <w:r>
        <w:rPr>
          <w:bCs/>
          <w:noProof/>
        </w:rPr>
        <w:t xml:space="preserve"> sekkumise puhul toetuse </w:t>
      </w:r>
      <w:r w:rsidR="00DF3F54" w:rsidRPr="00DF3F54">
        <w:rPr>
          <w:bCs/>
          <w:noProof/>
        </w:rPr>
        <w:t>andmise tingimused ja kord, sealhulgas nõuded mesinduskogule ja tema liikmele, tegevuskavale ja selles esitatud tegevuste kohta ning tegevusaruandele, tegevuskava ja tegevusaruande esitamise ja heakskiitmise kord, ning toetuse maksmise</w:t>
      </w:r>
      <w:r w:rsidR="00FA2C26">
        <w:rPr>
          <w:bCs/>
          <w:noProof/>
        </w:rPr>
        <w:t>, sealhulgas ettemaksmise</w:t>
      </w:r>
      <w:r w:rsidR="00DF3F54" w:rsidRPr="00DF3F54">
        <w:rPr>
          <w:bCs/>
          <w:noProof/>
        </w:rPr>
        <w:t xml:space="preserve"> tingimused ja kord.</w:t>
      </w:r>
    </w:p>
    <w:p w14:paraId="28E7A6A5" w14:textId="59F0D6FD" w:rsidR="00DF3F54" w:rsidRDefault="00DF3F54" w:rsidP="000534C7">
      <w:pPr>
        <w:jc w:val="both"/>
      </w:pPr>
    </w:p>
    <w:p w14:paraId="077499F4" w14:textId="317C5290" w:rsidR="00DF3F54" w:rsidRDefault="00DF3F54" w:rsidP="000534C7">
      <w:pPr>
        <w:jc w:val="both"/>
        <w:rPr>
          <w:bCs/>
          <w:noProof/>
        </w:rPr>
      </w:pPr>
      <w:r w:rsidRPr="00DF3F54">
        <w:rPr>
          <w:b/>
        </w:rPr>
        <w:t>Eelnõu §-s 2</w:t>
      </w:r>
      <w:r>
        <w:t xml:space="preserve"> tuuakse välja toetuse andmise eesmärk. </w:t>
      </w:r>
      <w:r w:rsidR="000503CB">
        <w:rPr>
          <w:bCs/>
          <w:lang w:eastAsia="et-EE"/>
        </w:rPr>
        <w:t>ÜPP strateegiakavas sätestatud mesindussektori</w:t>
      </w:r>
      <w:r w:rsidR="00CD7759">
        <w:rPr>
          <w:bCs/>
          <w:lang w:eastAsia="et-EE"/>
        </w:rPr>
        <w:t>sse</w:t>
      </w:r>
      <w:r w:rsidR="000503CB">
        <w:rPr>
          <w:bCs/>
          <w:lang w:eastAsia="et-EE"/>
        </w:rPr>
        <w:t xml:space="preserve"> sekkumise eesmärgist ja selle</w:t>
      </w:r>
      <w:r w:rsidR="000503CB" w:rsidRPr="002F31E8">
        <w:t xml:space="preserve"> saavutamiseks </w:t>
      </w:r>
      <w:r w:rsidR="000503CB">
        <w:t xml:space="preserve">valitud sekkumisviisidest tulenevalt </w:t>
      </w:r>
      <w:r w:rsidR="000503CB" w:rsidRPr="000503CB">
        <w:t xml:space="preserve">antakse </w:t>
      </w:r>
      <w:r w:rsidR="000503CB">
        <w:t xml:space="preserve">toetust </w:t>
      </w:r>
      <w:r w:rsidR="000503CB" w:rsidRPr="000503CB">
        <w:t>mesindussektori tegevuskavas kavandatud tegevuste elluviimise eest, mis tõstavad mesindussektori konkurentsivõimet ja turule orienteeritust mesinike teadmiste ja oskuste parandamise, mesilashaigustega ja kahjuritega võitlemiseks materiaalsesse ja mittemateriaalsesse varasse investeerimise, mesilashaiguste ja mesindustoodete analüüsimise, teadusasutustega tehtava koostöö edendamise, tarbijate teadlikkuse suurendamise ning tegevuskavas kavandatud tegevuste elluviimiseks tehnilise abi andmise kaudu.</w:t>
      </w:r>
    </w:p>
    <w:p w14:paraId="289ACE91" w14:textId="77777777" w:rsidR="000534C7" w:rsidRDefault="000534C7" w:rsidP="000534C7">
      <w:pPr>
        <w:jc w:val="both"/>
        <w:rPr>
          <w:bCs/>
          <w:noProof/>
        </w:rPr>
      </w:pPr>
    </w:p>
    <w:p w14:paraId="55F3553C" w14:textId="5F989E38" w:rsidR="002B1ABC" w:rsidRPr="000534C7" w:rsidRDefault="00F74B47" w:rsidP="002B1ABC">
      <w:pPr>
        <w:autoSpaceDE/>
        <w:autoSpaceDN/>
        <w:jc w:val="both"/>
        <w:rPr>
          <w:bCs/>
          <w:lang w:eastAsia="et-EE"/>
        </w:rPr>
      </w:pPr>
      <w:r>
        <w:rPr>
          <w:b/>
          <w:bCs/>
          <w:lang w:eastAsia="et-EE"/>
        </w:rPr>
        <w:t>Eelnõu §-s</w:t>
      </w:r>
      <w:r w:rsidR="000534C7" w:rsidRPr="00BC6063">
        <w:rPr>
          <w:b/>
          <w:bCs/>
          <w:lang w:eastAsia="et-EE"/>
        </w:rPr>
        <w:t xml:space="preserve"> </w:t>
      </w:r>
      <w:r w:rsidR="00DF3F54">
        <w:rPr>
          <w:b/>
          <w:bCs/>
          <w:lang w:eastAsia="et-EE"/>
        </w:rPr>
        <w:t>3</w:t>
      </w:r>
      <w:r w:rsidR="000534C7">
        <w:rPr>
          <w:b/>
          <w:bCs/>
          <w:lang w:eastAsia="et-EE"/>
        </w:rPr>
        <w:t xml:space="preserve"> </w:t>
      </w:r>
      <w:r w:rsidRPr="00F74B47">
        <w:rPr>
          <w:bCs/>
          <w:lang w:eastAsia="et-EE"/>
        </w:rPr>
        <w:t xml:space="preserve">on </w:t>
      </w:r>
      <w:r w:rsidR="000534C7" w:rsidRPr="000534C7">
        <w:rPr>
          <w:bCs/>
          <w:lang w:eastAsia="et-EE"/>
        </w:rPr>
        <w:t>sätes</w:t>
      </w:r>
      <w:r>
        <w:rPr>
          <w:bCs/>
          <w:lang w:eastAsia="et-EE"/>
        </w:rPr>
        <w:t xml:space="preserve">tatud nõuded, millele peab vastama toetuse taotleja. </w:t>
      </w:r>
    </w:p>
    <w:p w14:paraId="7319C05A" w14:textId="77777777" w:rsidR="002B1ABC" w:rsidRDefault="002B1ABC" w:rsidP="002D6483">
      <w:pPr>
        <w:jc w:val="both"/>
        <w:rPr>
          <w:bCs/>
        </w:rPr>
      </w:pPr>
      <w:bookmarkStart w:id="1" w:name="para2lg1p8"/>
      <w:bookmarkEnd w:id="1"/>
    </w:p>
    <w:p w14:paraId="3DF52991" w14:textId="54DB2D6B" w:rsidR="00FF20B8" w:rsidRDefault="00203811" w:rsidP="00203811">
      <w:pPr>
        <w:jc w:val="both"/>
      </w:pPr>
      <w:r>
        <w:rPr>
          <w:rFonts w:cs="Mangal"/>
        </w:rPr>
        <w:t xml:space="preserve">Lõikes 1 sätestatakse, et </w:t>
      </w:r>
      <w:r w:rsidR="00FF20B8">
        <w:rPr>
          <w:rFonts w:cs="Mangal"/>
        </w:rPr>
        <w:t>toetust saab</w:t>
      </w:r>
      <w:r w:rsidR="00F74B47" w:rsidRPr="00A374A1">
        <w:rPr>
          <w:rFonts w:cs="Mangal"/>
        </w:rPr>
        <w:t xml:space="preserve"> taotleda Euroopa Liidu ühise põllumajanduspoliitika rakendamise seaduse </w:t>
      </w:r>
      <w:r w:rsidR="00FF20B8">
        <w:rPr>
          <w:rFonts w:cs="Mangal"/>
        </w:rPr>
        <w:t xml:space="preserve">(edaspidi </w:t>
      </w:r>
      <w:r w:rsidR="00FF20B8" w:rsidRPr="00FF20B8">
        <w:rPr>
          <w:rFonts w:cs="Mangal"/>
          <w:i/>
        </w:rPr>
        <w:t>ELÜPS</w:t>
      </w:r>
      <w:r w:rsidR="00FF20B8">
        <w:rPr>
          <w:rFonts w:cs="Mangal"/>
        </w:rPr>
        <w:t xml:space="preserve">) </w:t>
      </w:r>
      <w:r w:rsidR="00F74B47" w:rsidRPr="00A374A1">
        <w:rPr>
          <w:rFonts w:cs="Mangal"/>
        </w:rPr>
        <w:t xml:space="preserve">§ 18 </w:t>
      </w:r>
      <w:r w:rsidR="008A0F21">
        <w:rPr>
          <w:rFonts w:cs="Mangal"/>
        </w:rPr>
        <w:t>lõikes 1 nimetatud mesinduskogu. Mesinduskogu</w:t>
      </w:r>
      <w:r w:rsidR="00FF20B8">
        <w:rPr>
          <w:rFonts w:cs="Mangal"/>
        </w:rPr>
        <w:t xml:space="preserve"> on </w:t>
      </w:r>
      <w:r w:rsidR="00FF20B8" w:rsidRPr="007E28BA">
        <w:t>Eestis tegutsevate mesindus</w:t>
      </w:r>
      <w:r w:rsidR="00FF20B8">
        <w:t>sektori</w:t>
      </w:r>
      <w:r w:rsidR="00FF20B8" w:rsidRPr="007E28BA">
        <w:t xml:space="preserve"> </w:t>
      </w:r>
      <w:r w:rsidR="00FF20B8">
        <w:t>isikute ühendustest</w:t>
      </w:r>
      <w:r w:rsidR="00FF20B8" w:rsidRPr="007E28BA">
        <w:t xml:space="preserve"> moodustatud eraldi juriidiline isik (mittetulundusühistu) või juriidilise isiku staatuseta isikute ühendus (seltsing)</w:t>
      </w:r>
      <w:r w:rsidR="00FF20B8">
        <w:rPr>
          <w:rFonts w:cs="Mangal"/>
        </w:rPr>
        <w:t xml:space="preserve">. ELÜPS § 18 lõike 1 kohaselt peab </w:t>
      </w:r>
      <w:r w:rsidR="00FF20B8">
        <w:t>t</w:t>
      </w:r>
      <w:r>
        <w:t>oetust saada soovival m</w:t>
      </w:r>
      <w:r w:rsidRPr="007E28BA">
        <w:t>esinduskogu</w:t>
      </w:r>
      <w:r w:rsidR="00FF20B8">
        <w:t xml:space="preserve">l </w:t>
      </w:r>
      <w:r w:rsidRPr="007E28BA">
        <w:t xml:space="preserve">mittetulundusühingute seaduse § </w:t>
      </w:r>
      <w:r>
        <w:t>7</w:t>
      </w:r>
      <w:r w:rsidRPr="007E28BA">
        <w:t xml:space="preserve"> kohases </w:t>
      </w:r>
      <w:r>
        <w:t>põhikirjas</w:t>
      </w:r>
      <w:r w:rsidRPr="007E28BA">
        <w:t xml:space="preserve"> või võlaõigusseaduse § 580 lõike 1 kohase</w:t>
      </w:r>
      <w:r>
        <w:t>s</w:t>
      </w:r>
      <w:r w:rsidRPr="007E28BA">
        <w:t xml:space="preserve"> seltsingulepingu</w:t>
      </w:r>
      <w:r>
        <w:t xml:space="preserve">s olema sätestatud eesmärgiks </w:t>
      </w:r>
      <w:r w:rsidR="00FF20B8">
        <w:t xml:space="preserve">ÜPP </w:t>
      </w:r>
      <w:r>
        <w:rPr>
          <w:bCs/>
        </w:rPr>
        <w:t>strateegiakava</w:t>
      </w:r>
      <w:r>
        <w:t>s sätestatud mesindussektori</w:t>
      </w:r>
      <w:r w:rsidR="00CD7759">
        <w:t>sse</w:t>
      </w:r>
      <w:r>
        <w:t xml:space="preserve"> sekkumise eesmärgi saavutamine</w:t>
      </w:r>
      <w:r w:rsidRPr="007E28BA">
        <w:t xml:space="preserve">. </w:t>
      </w:r>
      <w:r>
        <w:t>Võrreldes  mesind</w:t>
      </w:r>
      <w:r w:rsidR="008A0F21">
        <w:t>usprogrammidega, kus programmi rakendas ning selle</w:t>
      </w:r>
      <w:r>
        <w:t xml:space="preserve"> läbiviimise eest vastutas üks </w:t>
      </w:r>
      <w:r w:rsidR="00C41A49" w:rsidRPr="00C41A49">
        <w:t>maaeluministri käsk</w:t>
      </w:r>
      <w:r w:rsidR="00C41A49">
        <w:t xml:space="preserve">kirjaga </w:t>
      </w:r>
      <w:r w:rsidR="00C41A49" w:rsidRPr="00C41A49">
        <w:t>määrat</w:t>
      </w:r>
      <w:r w:rsidR="00C41A49">
        <w:t xml:space="preserve">ud </w:t>
      </w:r>
      <w:r>
        <w:t>juhtiv mesindussektori isikute ühendus</w:t>
      </w:r>
      <w:r w:rsidR="00E2351D">
        <w:t xml:space="preserve"> korraga, tõhustab </w:t>
      </w:r>
      <w:r w:rsidR="008A0F21">
        <w:t xml:space="preserve">mitme </w:t>
      </w:r>
      <w:r w:rsidR="008A0F21" w:rsidRPr="007E28BA">
        <w:t>mesindus</w:t>
      </w:r>
      <w:r w:rsidR="008A0F21">
        <w:t>sektori</w:t>
      </w:r>
      <w:r w:rsidR="008A0F21" w:rsidRPr="007E28BA">
        <w:t xml:space="preserve"> </w:t>
      </w:r>
      <w:r w:rsidR="008A0F21">
        <w:t xml:space="preserve">isikute ühenduse poolt esitatava ühistaotluse alusel </w:t>
      </w:r>
      <w:r>
        <w:t xml:space="preserve">toetuse </w:t>
      </w:r>
      <w:r w:rsidR="00E2351D">
        <w:t>andmine üldist</w:t>
      </w:r>
      <w:r w:rsidR="008A0F21">
        <w:t xml:space="preserve"> koostöö taset</w:t>
      </w:r>
      <w:r>
        <w:t xml:space="preserve"> </w:t>
      </w:r>
      <w:r w:rsidR="00E2351D">
        <w:t xml:space="preserve">sektoris </w:t>
      </w:r>
      <w:r>
        <w:t xml:space="preserve">ning tekitab tegevustes suuremat sünergiat. </w:t>
      </w:r>
    </w:p>
    <w:p w14:paraId="014876AC" w14:textId="77777777" w:rsidR="00FF20B8" w:rsidRDefault="00FF20B8" w:rsidP="00FF20B8">
      <w:pPr>
        <w:autoSpaceDE/>
        <w:autoSpaceDN/>
        <w:jc w:val="both"/>
        <w:rPr>
          <w:rFonts w:eastAsiaTheme="minorHAnsi"/>
        </w:rPr>
      </w:pPr>
    </w:p>
    <w:p w14:paraId="53FD538A" w14:textId="27D2C4E8" w:rsidR="008A0F21" w:rsidRDefault="008A0F21" w:rsidP="000844BD">
      <w:pPr>
        <w:jc w:val="both"/>
        <w:rPr>
          <w:rFonts w:cs="Mangal"/>
        </w:rPr>
      </w:pPr>
      <w:r>
        <w:rPr>
          <w:rFonts w:cs="Mangal"/>
        </w:rPr>
        <w:t xml:space="preserve">Lõikes 2 </w:t>
      </w:r>
      <w:r w:rsidR="000844BD">
        <w:rPr>
          <w:rFonts w:cs="Mangal"/>
        </w:rPr>
        <w:t xml:space="preserve">täpsustatakse nõutavat minimaalset mesinduskogu liikmete </w:t>
      </w:r>
      <w:r w:rsidR="00B3735F">
        <w:rPr>
          <w:rFonts w:cs="Mangal"/>
        </w:rPr>
        <w:t>või selt</w:t>
      </w:r>
      <w:r w:rsidR="003E1623">
        <w:rPr>
          <w:rFonts w:cs="Mangal"/>
        </w:rPr>
        <w:t xml:space="preserve">singlaste (edaspidi </w:t>
      </w:r>
      <w:r w:rsidR="003E1623" w:rsidRPr="003E1623">
        <w:rPr>
          <w:rFonts w:cs="Mangal"/>
          <w:i/>
        </w:rPr>
        <w:t>mesinduskogu</w:t>
      </w:r>
      <w:r w:rsidR="001A4F07">
        <w:rPr>
          <w:rFonts w:cs="Mangal"/>
          <w:i/>
        </w:rPr>
        <w:t xml:space="preserve"> liikmed</w:t>
      </w:r>
      <w:r w:rsidR="003E1623">
        <w:rPr>
          <w:rFonts w:cs="Mangal"/>
        </w:rPr>
        <w:t xml:space="preserve">) </w:t>
      </w:r>
      <w:r w:rsidR="000844BD">
        <w:rPr>
          <w:rFonts w:cs="Mangal"/>
        </w:rPr>
        <w:t>arvu ja mesinduskogu liikmeks olevate mesindussektori isikute ühenduste minimaalset mesinikest liikmete arvu.</w:t>
      </w:r>
      <w:r w:rsidR="002F2CFC">
        <w:rPr>
          <w:rFonts w:cs="Mangal"/>
        </w:rPr>
        <w:t xml:space="preserve"> </w:t>
      </w:r>
      <w:r w:rsidR="000844BD">
        <w:rPr>
          <w:rFonts w:cs="Mangal"/>
        </w:rPr>
        <w:t xml:space="preserve">Mesinduskogul peab olema vähemalt kolm </w:t>
      </w:r>
      <w:r w:rsidR="001A4F07">
        <w:rPr>
          <w:rFonts w:cs="Mangal"/>
        </w:rPr>
        <w:t xml:space="preserve">juriidilisest isikust </w:t>
      </w:r>
      <w:r w:rsidR="000844BD">
        <w:rPr>
          <w:rFonts w:cs="Mangal"/>
        </w:rPr>
        <w:t xml:space="preserve">mesindussektori isikute ühendusest liiget, </w:t>
      </w:r>
      <w:r w:rsidR="00B20DE9" w:rsidRPr="00B20DE9">
        <w:rPr>
          <w:rFonts w:cs="Mangal"/>
        </w:rPr>
        <w:t xml:space="preserve">kes tegutseb juriidilise isikuna ning </w:t>
      </w:r>
      <w:r w:rsidR="008B108E">
        <w:rPr>
          <w:rFonts w:cs="Mangal"/>
        </w:rPr>
        <w:t xml:space="preserve">kelle põhikirjaliseks tegevuseks on mesinduse arendamine ja </w:t>
      </w:r>
      <w:r w:rsidR="000844BD">
        <w:rPr>
          <w:rFonts w:cs="Mangal"/>
        </w:rPr>
        <w:t xml:space="preserve">kellel igaühel on vähemalt </w:t>
      </w:r>
      <w:r w:rsidR="003E1623">
        <w:rPr>
          <w:rFonts w:cs="Mangal"/>
        </w:rPr>
        <w:t>kümme</w:t>
      </w:r>
      <w:r w:rsidR="000844BD">
        <w:rPr>
          <w:rFonts w:cs="Mangal"/>
        </w:rPr>
        <w:t xml:space="preserve"> teise mesinduskogu liikmeks oleva mesindussektori isikute ühenduse mesinikust liikmega mittekattuvat mesinikust liiget. Kui mesinduskogul on neli või enam mesindussektori isikute ühendusest liiget, siis neljanda liikme puhul ja edasi vähemalt </w:t>
      </w:r>
      <w:r w:rsidR="003E1623">
        <w:rPr>
          <w:rFonts w:cs="Mangal"/>
        </w:rPr>
        <w:t>kümne</w:t>
      </w:r>
      <w:r w:rsidR="000844BD">
        <w:rPr>
          <w:rFonts w:cs="Mangal"/>
        </w:rPr>
        <w:t xml:space="preserve"> mesinikust liikme olemasolu ja nende mittekattuvuse nõuet ei arvestata. </w:t>
      </w:r>
      <w:r w:rsidR="007C6DB9">
        <w:rPr>
          <w:rFonts w:cs="Mangal"/>
        </w:rPr>
        <w:t>Vähemalt kolme mesindussektori isikute ühendusest liikme olemasolu nõue on Eesti mesindussektori isikute ühenduste arvu juures optimaalne, suunates organisats</w:t>
      </w:r>
      <w:r w:rsidR="003279F5">
        <w:rPr>
          <w:rFonts w:cs="Mangal"/>
        </w:rPr>
        <w:t>ioone suuremale koostööle, kuid</w:t>
      </w:r>
      <w:r w:rsidR="007C6DB9">
        <w:rPr>
          <w:rFonts w:cs="Mangal"/>
        </w:rPr>
        <w:t xml:space="preserve"> jättes ka võimaluse</w:t>
      </w:r>
      <w:r w:rsidR="000844BD">
        <w:rPr>
          <w:rFonts w:cs="Mangal"/>
        </w:rPr>
        <w:t xml:space="preserve"> </w:t>
      </w:r>
      <w:r w:rsidR="003279F5">
        <w:rPr>
          <w:rFonts w:cs="Mangal"/>
        </w:rPr>
        <w:t>teisi ideid ja arengusuundasid esindavate</w:t>
      </w:r>
      <w:r w:rsidR="007C6DB9">
        <w:rPr>
          <w:rFonts w:cs="Mangal"/>
        </w:rPr>
        <w:t xml:space="preserve"> mesinduskogude tekkeks. </w:t>
      </w:r>
      <w:r w:rsidR="006F4B77">
        <w:rPr>
          <w:rFonts w:cs="Mangal"/>
        </w:rPr>
        <w:t>V</w:t>
      </w:r>
      <w:r w:rsidR="006F4B77" w:rsidRPr="006F4B77">
        <w:rPr>
          <w:rFonts w:cs="Mangal"/>
        </w:rPr>
        <w:t xml:space="preserve">ähemalt </w:t>
      </w:r>
      <w:r w:rsidR="003E1623">
        <w:rPr>
          <w:rFonts w:cs="Mangal"/>
        </w:rPr>
        <w:t>kümne</w:t>
      </w:r>
      <w:r w:rsidR="006F4B77" w:rsidRPr="006F4B77">
        <w:rPr>
          <w:rFonts w:cs="Mangal"/>
        </w:rPr>
        <w:t xml:space="preserve"> teise mesinduskogu liikmeks oleva mesindussektori isikute ühenduse m</w:t>
      </w:r>
      <w:r w:rsidR="006F4B77">
        <w:rPr>
          <w:rFonts w:cs="Mangal"/>
        </w:rPr>
        <w:t xml:space="preserve">esinikust liikmega mittekattuva mesinikust </w:t>
      </w:r>
      <w:r w:rsidR="006F4B77">
        <w:rPr>
          <w:rFonts w:cs="Mangal"/>
        </w:rPr>
        <w:lastRenderedPageBreak/>
        <w:t>liikme nõude eesmärgiks on tagad</w:t>
      </w:r>
      <w:r w:rsidR="003279F5">
        <w:rPr>
          <w:rFonts w:cs="Mangal"/>
        </w:rPr>
        <w:t>a</w:t>
      </w:r>
      <w:r w:rsidR="006F4B77">
        <w:rPr>
          <w:rFonts w:cs="Mangal"/>
        </w:rPr>
        <w:t xml:space="preserve"> piisava arvu aktiivsete mesinike kaasatus ning minimeerida </w:t>
      </w:r>
      <w:r w:rsidR="00B20DE9">
        <w:rPr>
          <w:rFonts w:cs="Mangal"/>
        </w:rPr>
        <w:t xml:space="preserve">fiktiivsete </w:t>
      </w:r>
      <w:r w:rsidR="006F4B77">
        <w:rPr>
          <w:rFonts w:cs="Mangal"/>
        </w:rPr>
        <w:t>mesinduskogude tekke võimalust.</w:t>
      </w:r>
    </w:p>
    <w:p w14:paraId="2DBB73A8" w14:textId="77777777" w:rsidR="009A010B" w:rsidRDefault="009A010B" w:rsidP="009A010B">
      <w:pPr>
        <w:rPr>
          <w:rFonts w:cs="Mangal"/>
        </w:rPr>
      </w:pPr>
    </w:p>
    <w:p w14:paraId="0B50BF0A" w14:textId="02B6C2C8" w:rsidR="002C79A3" w:rsidRDefault="00035D70" w:rsidP="00035D70">
      <w:pPr>
        <w:jc w:val="both"/>
        <w:rPr>
          <w:rFonts w:cs="Mangal"/>
        </w:rPr>
      </w:pPr>
      <w:r>
        <w:rPr>
          <w:rFonts w:cs="Mangal"/>
        </w:rPr>
        <w:t xml:space="preserve">Lõikes </w:t>
      </w:r>
      <w:r w:rsidR="003E1623">
        <w:rPr>
          <w:rFonts w:cs="Mangal"/>
        </w:rPr>
        <w:t>3</w:t>
      </w:r>
      <w:r>
        <w:rPr>
          <w:rFonts w:cs="Mangal"/>
        </w:rPr>
        <w:t xml:space="preserve"> sätestatakse</w:t>
      </w:r>
      <w:r w:rsidR="002C79A3">
        <w:rPr>
          <w:rFonts w:cs="Mangal"/>
        </w:rPr>
        <w:t xml:space="preserve">, et </w:t>
      </w:r>
      <w:r>
        <w:rPr>
          <w:rFonts w:cs="Mangal"/>
        </w:rPr>
        <w:t xml:space="preserve">mesinduskogu peab </w:t>
      </w:r>
      <w:r w:rsidR="009841ED">
        <w:rPr>
          <w:rFonts w:cs="Mangal"/>
        </w:rPr>
        <w:t xml:space="preserve">toetuse taotlemiseks PRIA-le esitatava </w:t>
      </w:r>
      <w:r>
        <w:t>t</w:t>
      </w:r>
      <w:r w:rsidRPr="00741ABD">
        <w:t>egevuskava väljatöötamiseks ja elluviimiseks</w:t>
      </w:r>
      <w:r>
        <w:t xml:space="preserve"> kaasama partneri, kelleks ELÜPS § 18 lõike 3 kohaselt on vähemalt üks</w:t>
      </w:r>
      <w:r w:rsidRPr="00741ABD">
        <w:t xml:space="preserve"> mesinduse ja meetoodete uuringuid te</w:t>
      </w:r>
      <w:r>
        <w:t>gev</w:t>
      </w:r>
      <w:r w:rsidRPr="00741ABD">
        <w:t xml:space="preserve"> teadus</w:t>
      </w:r>
      <w:r>
        <w:t xml:space="preserve">- ja arendusasutus </w:t>
      </w:r>
      <w:r w:rsidRPr="00741ABD">
        <w:t>või põllumajanduse ja maaelu valdkonnas</w:t>
      </w:r>
      <w:r>
        <w:t xml:space="preserve"> küllaldase kogemusega ja eksperditeadmistega isik, temaga sõlmitava lepingu alusel.</w:t>
      </w:r>
      <w:r w:rsidR="00BC6143">
        <w:t xml:space="preserve"> </w:t>
      </w:r>
      <w:r w:rsidR="006F4D9F">
        <w:t>M</w:t>
      </w:r>
      <w:r w:rsidR="00BC6143">
        <w:t xml:space="preserve">esindusprogrammide puhul partneri kaasamise nõuet ei olnud. </w:t>
      </w:r>
      <w:r w:rsidR="00BC6143" w:rsidRPr="00BC6143">
        <w:t>Partneri kaasamine võimaldab ühelt poolt kasutada tegevuskava koostamisel ja elluviimisel ära täiendavaid mesindus- või teadusalaseid teadmisi ja oskusi, teiselt poolt aga tõsta mesinduskogu administreerimis- ja finantsvõimekust.</w:t>
      </w:r>
    </w:p>
    <w:p w14:paraId="33BD8F4B" w14:textId="77777777" w:rsidR="002C79A3" w:rsidRDefault="002C79A3" w:rsidP="00035D70">
      <w:pPr>
        <w:jc w:val="both"/>
        <w:rPr>
          <w:rFonts w:cs="Mangal"/>
        </w:rPr>
      </w:pPr>
    </w:p>
    <w:p w14:paraId="0A2EED9E" w14:textId="385B16B3" w:rsidR="00035D70" w:rsidRDefault="00035D70" w:rsidP="00035D70">
      <w:pPr>
        <w:jc w:val="both"/>
        <w:rPr>
          <w:rFonts w:cs="Mangal"/>
        </w:rPr>
      </w:pPr>
      <w:r>
        <w:rPr>
          <w:rFonts w:cs="Mangal"/>
        </w:rPr>
        <w:t xml:space="preserve">Lõikes </w:t>
      </w:r>
      <w:r w:rsidR="004B47FD">
        <w:rPr>
          <w:rFonts w:cs="Mangal"/>
        </w:rPr>
        <w:t>4</w:t>
      </w:r>
      <w:r>
        <w:rPr>
          <w:rFonts w:cs="Mangal"/>
        </w:rPr>
        <w:t xml:space="preserve"> täpsustatakse, milliseid andmeid peab mesinduskogu ja partneri vaheline sõlmitav leping minimaalselt sisaldama. Leping peab kajastama lepingu sõlmimise eesmärki, partneri mesinduskogusse kaasamise ja mesinduskogust lahkumise korda, partneri ja seda esindava isiku kontaktandmeid ning partneri õiguseid ja kohustusi tegevuskava väljatöötamisel ja elluviimisel.</w:t>
      </w:r>
    </w:p>
    <w:p w14:paraId="455E70CF" w14:textId="77777777" w:rsidR="00035D70" w:rsidRDefault="00035D70" w:rsidP="00035D70">
      <w:pPr>
        <w:jc w:val="both"/>
        <w:rPr>
          <w:rFonts w:cs="Mangal"/>
        </w:rPr>
      </w:pPr>
    </w:p>
    <w:p w14:paraId="531A87B2" w14:textId="39127275" w:rsidR="00035D70" w:rsidRDefault="00BE184C" w:rsidP="00035D70">
      <w:pPr>
        <w:jc w:val="both"/>
        <w:rPr>
          <w:rFonts w:cs="Mangal"/>
        </w:rPr>
      </w:pPr>
      <w:r>
        <w:rPr>
          <w:rFonts w:cs="Mangal"/>
        </w:rPr>
        <w:t>Lõigetes</w:t>
      </w:r>
      <w:r w:rsidR="00035D70">
        <w:rPr>
          <w:rFonts w:cs="Mangal"/>
        </w:rPr>
        <w:t xml:space="preserve"> </w:t>
      </w:r>
      <w:r w:rsidR="004B47FD">
        <w:rPr>
          <w:rFonts w:cs="Mangal"/>
        </w:rPr>
        <w:t>5</w:t>
      </w:r>
      <w:r>
        <w:rPr>
          <w:rFonts w:cs="Mangal"/>
        </w:rPr>
        <w:t>–</w:t>
      </w:r>
      <w:r w:rsidR="004B47FD">
        <w:rPr>
          <w:rFonts w:cs="Mangal"/>
        </w:rPr>
        <w:t>8</w:t>
      </w:r>
      <w:r w:rsidR="00035D70">
        <w:rPr>
          <w:rFonts w:cs="Mangal"/>
        </w:rPr>
        <w:t xml:space="preserve"> sätestatakse</w:t>
      </w:r>
      <w:r>
        <w:rPr>
          <w:rFonts w:cs="Mangal"/>
        </w:rPr>
        <w:t xml:space="preserve"> mõned üldisemad lisanõuded </w:t>
      </w:r>
      <w:r>
        <w:t>m</w:t>
      </w:r>
      <w:r w:rsidRPr="00944CD9">
        <w:t>esinduskogul</w:t>
      </w:r>
      <w:r>
        <w:t>e</w:t>
      </w:r>
      <w:r w:rsidRPr="00944CD9">
        <w:t>, mesinduskogu liikmetel</w:t>
      </w:r>
      <w:r>
        <w:t>e</w:t>
      </w:r>
      <w:r w:rsidRPr="00944CD9">
        <w:t xml:space="preserve"> ja mesinduskogu partneril</w:t>
      </w:r>
      <w:r>
        <w:t>e</w:t>
      </w:r>
      <w:r>
        <w:rPr>
          <w:rFonts w:cs="Mangal"/>
        </w:rPr>
        <w:t>. M</w:t>
      </w:r>
      <w:r w:rsidR="00035D70">
        <w:rPr>
          <w:rFonts w:cs="Mangal"/>
        </w:rPr>
        <w:t>es</w:t>
      </w:r>
      <w:r>
        <w:rPr>
          <w:rFonts w:cs="Mangal"/>
        </w:rPr>
        <w:t>induskogul, mesinduskogu liikm</w:t>
      </w:r>
      <w:r w:rsidR="00035D70">
        <w:rPr>
          <w:rFonts w:cs="Mangal"/>
        </w:rPr>
        <w:t xml:space="preserve">el ja mesinduskogu partneril ei tohi olla riikliku maksu võlga </w:t>
      </w:r>
      <w:r w:rsidR="00752224" w:rsidRPr="00274DBA">
        <w:t xml:space="preserve">või tema riikliku maksu võlg koos intressiga ei ületa 100 eurot </w:t>
      </w:r>
      <w:r w:rsidR="00035D70">
        <w:rPr>
          <w:rFonts w:cs="Mangal"/>
        </w:rPr>
        <w:t>või riikliku maksu võla tasumine on ajatatud.</w:t>
      </w:r>
      <w:r>
        <w:rPr>
          <w:rFonts w:cs="Mangal"/>
        </w:rPr>
        <w:t xml:space="preserve"> Samuti ei tohi mesinduskogu, mesinduskogu liikme ja mesinduskogu partneri suhtes olla algatatud likvideerimismenetlust, nimetatud ajutist pankrotihaldurit ega kohtuotsusega välja kuulutatud pankrotti. </w:t>
      </w:r>
      <w:r w:rsidRPr="00A374A1">
        <w:rPr>
          <w:rFonts w:cs="Mangal"/>
        </w:rPr>
        <w:t>Me</w:t>
      </w:r>
      <w:r>
        <w:rPr>
          <w:rFonts w:cs="Mangal"/>
        </w:rPr>
        <w:t>sinduskogu, mesinduskogu liige ja mesinduskogu partner ei tohi taotleda ega saada sama kulu kohta toetust riigieelarvest või muudest vahenditest. Juhul kui m</w:t>
      </w:r>
      <w:r w:rsidRPr="00A374A1">
        <w:rPr>
          <w:rFonts w:cs="Mangal"/>
        </w:rPr>
        <w:t>e</w:t>
      </w:r>
      <w:r>
        <w:rPr>
          <w:rFonts w:cs="Mangal"/>
        </w:rPr>
        <w:t>sinduskogu, mesinduskogu liige ja mesinduskogu partner on saanud varem rahastust riigieelarvest või muudest vahenditest ning see on tulnud tagasi maksta, siis tagasimaksmisele kuulunud summad on tähtajaks tagasi makstud.</w:t>
      </w:r>
    </w:p>
    <w:p w14:paraId="6AC92DC8" w14:textId="42EE3250" w:rsidR="00676A9A" w:rsidRDefault="00676A9A" w:rsidP="00035D70">
      <w:pPr>
        <w:jc w:val="both"/>
        <w:rPr>
          <w:rFonts w:cs="Mangal"/>
        </w:rPr>
      </w:pPr>
    </w:p>
    <w:p w14:paraId="727C577E" w14:textId="552AA8FD" w:rsidR="00676A9A" w:rsidRPr="00676A9A" w:rsidRDefault="00676A9A" w:rsidP="00676A9A">
      <w:pPr>
        <w:jc w:val="both"/>
        <w:rPr>
          <w:rFonts w:cs="Mangal"/>
        </w:rPr>
      </w:pPr>
      <w:r w:rsidRPr="00676A9A">
        <w:rPr>
          <w:rFonts w:cs="Mangal"/>
        </w:rPr>
        <w:t xml:space="preserve">Lõikes 9 on sätestatud nõue, mille kohaselt mesinduskogul, mesinduskogu liikmel ja mesinduskogu partneril ei ole kehtivat karistust karistusseadustiku §-s </w:t>
      </w:r>
      <w:r w:rsidR="00627E1D" w:rsidRPr="0015586B">
        <w:rPr>
          <w:rFonts w:cs="Mangal"/>
        </w:rPr>
        <w:t>§-s 49</w:t>
      </w:r>
      <w:r w:rsidR="00627E1D" w:rsidRPr="0015586B">
        <w:rPr>
          <w:rFonts w:cs="Mangal"/>
          <w:vertAlign w:val="superscript"/>
        </w:rPr>
        <w:t>1</w:t>
      </w:r>
      <w:r w:rsidR="00627E1D" w:rsidRPr="0015586B">
        <w:rPr>
          <w:rFonts w:cs="Mangal"/>
        </w:rPr>
        <w:t>, 209, 209</w:t>
      </w:r>
      <w:r w:rsidR="00627E1D" w:rsidRPr="0015586B">
        <w:rPr>
          <w:rFonts w:cs="Mangal"/>
          <w:vertAlign w:val="superscript"/>
        </w:rPr>
        <w:t>1</w:t>
      </w:r>
      <w:r w:rsidR="00627E1D" w:rsidRPr="0015586B">
        <w:rPr>
          <w:rFonts w:cs="Mangal"/>
        </w:rPr>
        <w:t>, 210, 296, 298, 298</w:t>
      </w:r>
      <w:r w:rsidR="00627E1D" w:rsidRPr="0015586B">
        <w:rPr>
          <w:rFonts w:cs="Mangal"/>
          <w:vertAlign w:val="superscript"/>
        </w:rPr>
        <w:t>1</w:t>
      </w:r>
      <w:r w:rsidR="00627E1D">
        <w:rPr>
          <w:rFonts w:cs="Mangal"/>
        </w:rPr>
        <w:t>, 372</w:t>
      </w:r>
      <w:r w:rsidR="00627E1D" w:rsidRPr="0015586B">
        <w:rPr>
          <w:rFonts w:cs="Mangal"/>
        </w:rPr>
        <w:t>, 373 või 384</w:t>
      </w:r>
      <w:r w:rsidRPr="00676A9A">
        <w:rPr>
          <w:rFonts w:cs="Mangal"/>
        </w:rPr>
        <w:t xml:space="preserve"> (ettevõtluskeeld, kelmus, hankekelmus, soodustuskelmus, altkäemaksu vahendus ja a</w:t>
      </w:r>
      <w:r w:rsidR="00627E1D">
        <w:rPr>
          <w:rFonts w:cs="Mangal"/>
        </w:rPr>
        <w:t>ndmine, mõjuvõimuga kauplemine,</w:t>
      </w:r>
      <w:r w:rsidRPr="00676A9A">
        <w:rPr>
          <w:rFonts w:cs="Mangal"/>
        </w:rPr>
        <w:t xml:space="preserve"> tegevusloata ja keelatud majandustegevus, ärikeelu rikkumine, maksejõuetuse põhjustamine) sätestatud süüteo toimepanemise eest.</w:t>
      </w:r>
    </w:p>
    <w:p w14:paraId="470D0D31" w14:textId="27357F4D" w:rsidR="00676A9A" w:rsidRDefault="00676A9A" w:rsidP="00676A9A">
      <w:pPr>
        <w:jc w:val="both"/>
        <w:rPr>
          <w:rFonts w:cs="Mangal"/>
        </w:rPr>
      </w:pPr>
      <w:r w:rsidRPr="00676A9A">
        <w:rPr>
          <w:rFonts w:cs="Mangal"/>
        </w:rPr>
        <w:t xml:space="preserve">ÜPP strateegiakava raames toetuste andmise üle otsustamisel lähtutakse sellest, et kui isik on toime pannud hüvede välja petmisega, avaliku võimu otsuste enda kasuks kallutamisega või ebaausa majandustegevusega seotud väär- või kuriteo, mille toimepanemise eest on tema kohta kantud kehtivad karistusandmed karistusregistrisse, siis ei saa selline isik toetust taotleda, sest tegemist ei ole õiguskuuleka ja usaldusväärse isikuga ning ta ei vasta toetuse saamise nõuetele. Süüteo koosseisud on sätestatud eesmärgiga hoida ära õigusaktist tuleneva kohustuse õigeaegse või täieliku täitmata jätmise, mille korral kaasneb oluline oht või kahju õigushüvele või olulistele ühiskondlikele huvidele. Toetuse andmise lubatavuse kujundamisel on lähtutud </w:t>
      </w:r>
      <w:r w:rsidRPr="00676A9A">
        <w:rPr>
          <w:rFonts w:cs="Mangal"/>
          <w:i/>
        </w:rPr>
        <w:t>ultima ratio</w:t>
      </w:r>
      <w:r w:rsidRPr="00676A9A">
        <w:rPr>
          <w:rFonts w:cs="Mangal"/>
        </w:rPr>
        <w:t xml:space="preserve"> põhimõttest ehk arvesse võetakse üksnes need isiku teod, mis seavad tõsiselt kahtluse alla tema õiguskuulekuse ja usaldusväärsuse.</w:t>
      </w:r>
    </w:p>
    <w:p w14:paraId="3BD490FB" w14:textId="1408FB29" w:rsidR="00035D70" w:rsidRDefault="00035D70" w:rsidP="00035D70"/>
    <w:p w14:paraId="47A3DD84" w14:textId="07CF78CC" w:rsidR="00F44D81" w:rsidRDefault="00091B48" w:rsidP="00091B48">
      <w:pPr>
        <w:jc w:val="both"/>
        <w:rPr>
          <w:bCs/>
          <w:lang w:eastAsia="et-EE"/>
        </w:rPr>
      </w:pPr>
      <w:r>
        <w:rPr>
          <w:b/>
          <w:bCs/>
          <w:lang w:eastAsia="et-EE"/>
        </w:rPr>
        <w:t>Eelnõu §-s</w:t>
      </w:r>
      <w:r w:rsidRPr="00BC6063">
        <w:rPr>
          <w:b/>
          <w:bCs/>
          <w:lang w:eastAsia="et-EE"/>
        </w:rPr>
        <w:t xml:space="preserve"> </w:t>
      </w:r>
      <w:r w:rsidR="004B47FD">
        <w:rPr>
          <w:b/>
          <w:bCs/>
          <w:lang w:eastAsia="et-EE"/>
        </w:rPr>
        <w:t>4</w:t>
      </w:r>
      <w:r>
        <w:rPr>
          <w:b/>
          <w:bCs/>
          <w:lang w:eastAsia="et-EE"/>
        </w:rPr>
        <w:t xml:space="preserve"> </w:t>
      </w:r>
      <w:r w:rsidRPr="00F74B47">
        <w:rPr>
          <w:bCs/>
          <w:lang w:eastAsia="et-EE"/>
        </w:rPr>
        <w:t xml:space="preserve">on </w:t>
      </w:r>
      <w:r w:rsidRPr="000534C7">
        <w:rPr>
          <w:bCs/>
          <w:lang w:eastAsia="et-EE"/>
        </w:rPr>
        <w:t>sätes</w:t>
      </w:r>
      <w:r>
        <w:rPr>
          <w:bCs/>
          <w:lang w:eastAsia="et-EE"/>
        </w:rPr>
        <w:t xml:space="preserve">tatud nõuded, millele peab vastama </w:t>
      </w:r>
      <w:r w:rsidR="009841ED">
        <w:rPr>
          <w:bCs/>
          <w:lang w:eastAsia="et-EE"/>
        </w:rPr>
        <w:t>mesinduskogu</w:t>
      </w:r>
      <w:r>
        <w:rPr>
          <w:bCs/>
          <w:lang w:eastAsia="et-EE"/>
        </w:rPr>
        <w:t xml:space="preserve"> poolt koostatav tegevuskava.</w:t>
      </w:r>
      <w:r w:rsidR="009841ED">
        <w:rPr>
          <w:bCs/>
          <w:lang w:eastAsia="et-EE"/>
        </w:rPr>
        <w:t xml:space="preserve"> </w:t>
      </w:r>
      <w:r w:rsidR="00F44D81">
        <w:rPr>
          <w:bCs/>
          <w:lang w:eastAsia="et-EE"/>
        </w:rPr>
        <w:t>Tegevuskava koostamise põhimõtete ja sisu osas mesindusprogrammide rakendamisel koostatud tegevuskavadega võrreldes olulisi erinevusi pole</w:t>
      </w:r>
      <w:r w:rsidR="00C41A49">
        <w:rPr>
          <w:bCs/>
          <w:lang w:eastAsia="et-EE"/>
        </w:rPr>
        <w:t>.</w:t>
      </w:r>
    </w:p>
    <w:p w14:paraId="4F7922EC" w14:textId="77777777" w:rsidR="00035D70" w:rsidRDefault="00035D70" w:rsidP="00091B48">
      <w:pPr>
        <w:jc w:val="both"/>
      </w:pPr>
    </w:p>
    <w:p w14:paraId="3A03F223" w14:textId="4E318A7E" w:rsidR="00725460" w:rsidRDefault="00EF3ECC" w:rsidP="00725460">
      <w:pPr>
        <w:jc w:val="both"/>
      </w:pPr>
      <w:r>
        <w:t xml:space="preserve">Lõikes 1 </w:t>
      </w:r>
      <w:r w:rsidR="005C246F">
        <w:t xml:space="preserve">antakse koostatava tegevuskava ajaline piiritlus. Tegevuskava </w:t>
      </w:r>
      <w:r w:rsidR="005C246F" w:rsidRPr="00C208B2">
        <w:rPr>
          <w:color w:val="000000" w:themeColor="text1"/>
        </w:rPr>
        <w:t>strateegiakavas sätestatud mesindussektori</w:t>
      </w:r>
      <w:r w:rsidR="00CD7759">
        <w:rPr>
          <w:color w:val="000000" w:themeColor="text1"/>
        </w:rPr>
        <w:t>sse</w:t>
      </w:r>
      <w:r w:rsidR="005C246F" w:rsidRPr="00C208B2">
        <w:rPr>
          <w:color w:val="000000" w:themeColor="text1"/>
        </w:rPr>
        <w:t xml:space="preserve"> sekkumise eesmärgi saavutamiseks ja toetuse taotlemiseks</w:t>
      </w:r>
      <w:r w:rsidR="005C246F">
        <w:t xml:space="preserve"> koostatakse</w:t>
      </w:r>
      <w:r w:rsidR="005C246F" w:rsidRPr="00C208B2">
        <w:rPr>
          <w:i/>
          <w:color w:val="000000" w:themeColor="text1"/>
        </w:rPr>
        <w:t xml:space="preserve"> </w:t>
      </w:r>
      <w:r w:rsidR="00725460">
        <w:t xml:space="preserve">ELi 2023–2027 eelarveperioodil </w:t>
      </w:r>
      <w:r w:rsidR="005C246F" w:rsidRPr="00083265">
        <w:t>k</w:t>
      </w:r>
      <w:r w:rsidR="00725460">
        <w:t>ahe perioodi kohta järgmiselt:</w:t>
      </w:r>
    </w:p>
    <w:p w14:paraId="446CFB5C" w14:textId="3931BC84" w:rsidR="00725460" w:rsidRDefault="00725460" w:rsidP="00725460">
      <w:pPr>
        <w:jc w:val="both"/>
      </w:pPr>
      <w:r>
        <w:t>1) 2023. aastal tegevuskava heakskiitmisega algava ja 15. oktoobril 2025. aastal lõppeva perioodi kohta;</w:t>
      </w:r>
    </w:p>
    <w:p w14:paraId="23F3DFAD" w14:textId="7BDB53B7" w:rsidR="00725460" w:rsidRDefault="00725460" w:rsidP="00725460">
      <w:pPr>
        <w:jc w:val="both"/>
      </w:pPr>
      <w:r>
        <w:lastRenderedPageBreak/>
        <w:t xml:space="preserve">2) 16. oktoobril 2025. aastal algava ja </w:t>
      </w:r>
      <w:r w:rsidR="009850BB">
        <w:t>ÜPP strateegiakava viimase aasta 15. oktoobril</w:t>
      </w:r>
      <w:r>
        <w:t xml:space="preserve"> lõppeva perioodi kohta.</w:t>
      </w:r>
    </w:p>
    <w:p w14:paraId="076F8C8E" w14:textId="32B2BD21" w:rsidR="004A3BAA" w:rsidRDefault="00B66BA6" w:rsidP="00553205">
      <w:pPr>
        <w:jc w:val="both"/>
      </w:pPr>
      <w:r>
        <w:t>Antud p</w:t>
      </w:r>
      <w:r w:rsidR="003D037C">
        <w:t xml:space="preserve">erioodide määratlemisel on </w:t>
      </w:r>
      <w:r w:rsidR="009F39BF">
        <w:t>arvesse võetud</w:t>
      </w:r>
      <w:r>
        <w:t xml:space="preserve">, et </w:t>
      </w:r>
      <w:r w:rsidR="003D037C" w:rsidRPr="003D037C">
        <w:t>ÜPP strateegiakavade määruse X lisa kohasel</w:t>
      </w:r>
      <w:r w:rsidR="003D037C">
        <w:t xml:space="preserve">t on </w:t>
      </w:r>
      <w:r w:rsidR="003D037C" w:rsidRPr="003D037C">
        <w:t>mesindussektori</w:t>
      </w:r>
      <w:r w:rsidR="00CD7759">
        <w:t>sse</w:t>
      </w:r>
      <w:r w:rsidR="003D037C" w:rsidRPr="003D037C">
        <w:t xml:space="preserve"> sekkumise rahaera</w:t>
      </w:r>
      <w:r w:rsidR="003D037C">
        <w:t xml:space="preserve">ldised liikmesriikidele </w:t>
      </w:r>
      <w:r w:rsidR="003D037C" w:rsidRPr="003D037C">
        <w:t xml:space="preserve">ette </w:t>
      </w:r>
      <w:r w:rsidR="003D037C">
        <w:t>nähtud</w:t>
      </w:r>
      <w:r w:rsidR="005C246F" w:rsidRPr="00D910C1">
        <w:t xml:space="preserve"> </w:t>
      </w:r>
      <w:r w:rsidR="005C246F" w:rsidRPr="00795BD5">
        <w:t>Euroopa Parlamendi ja nõukogu määruse (EL) nr 2021/2116</w:t>
      </w:r>
      <w:r w:rsidR="005C246F">
        <w:t>,</w:t>
      </w:r>
      <w:r w:rsidR="005C246F" w:rsidRPr="00FC1E9B">
        <w:t xml:space="preserve"> mis käsitleb ühise põllumajanduspoliitika rahastamist, haldamist ja seiret ning millega tunnistatakse kehtetuks määrus (EL) nr 1306/2013 (ELT L 435, 06.12.2021, lk 187–261)</w:t>
      </w:r>
      <w:r w:rsidR="005C246F">
        <w:t>,</w:t>
      </w:r>
      <w:r w:rsidR="005C246F" w:rsidRPr="00795BD5">
        <w:t xml:space="preserve"> artiklis 35 sätestatud </w:t>
      </w:r>
      <w:r w:rsidR="005C246F">
        <w:t>põllumajanduslik</w:t>
      </w:r>
      <w:r w:rsidR="005C246F" w:rsidRPr="00D910C1">
        <w:t xml:space="preserve">u </w:t>
      </w:r>
      <w:r w:rsidR="005C246F">
        <w:t xml:space="preserve">eelarveaasta (edaspidi </w:t>
      </w:r>
      <w:r w:rsidR="005C246F" w:rsidRPr="002245E9">
        <w:rPr>
          <w:i/>
        </w:rPr>
        <w:t>eelarveaasta</w:t>
      </w:r>
      <w:r w:rsidR="005C246F">
        <w:t xml:space="preserve">) pikkuse perioodi kohta. Eelarveaasta nimetatud artikli 35 kohaselt hõlmab </w:t>
      </w:r>
      <w:r w:rsidR="005C246F" w:rsidRPr="00AD327B">
        <w:t xml:space="preserve">tehtud kulusid ja saadud tulusid, mille makseasutused kannavad </w:t>
      </w:r>
      <w:r w:rsidR="005C246F">
        <w:t>EAGFi ja EAFRD</w:t>
      </w:r>
      <w:r w:rsidR="005C246F" w:rsidRPr="00AD327B">
        <w:t xml:space="preserve"> raamatupidamisarvestusse seoses </w:t>
      </w:r>
      <w:r w:rsidR="005C246F">
        <w:t xml:space="preserve">N põllumajandusliku </w:t>
      </w:r>
      <w:r w:rsidR="005C246F" w:rsidRPr="00AD327B">
        <w:t xml:space="preserve">eelarveaastaga, mis algab N–1 </w:t>
      </w:r>
      <w:r w:rsidR="005C246F">
        <w:t xml:space="preserve">aasta </w:t>
      </w:r>
      <w:r w:rsidR="005C246F" w:rsidRPr="00AD327B">
        <w:t xml:space="preserve">16. oktoobril ja lõpeb N </w:t>
      </w:r>
      <w:r w:rsidR="005C246F">
        <w:t xml:space="preserve">aasta </w:t>
      </w:r>
      <w:r w:rsidR="005C246F" w:rsidRPr="00AD327B">
        <w:t>15. oktoobril</w:t>
      </w:r>
      <w:r w:rsidR="005C246F">
        <w:t>.</w:t>
      </w:r>
      <w:r w:rsidR="002375FC" w:rsidRPr="009F39BF">
        <w:t xml:space="preserve"> </w:t>
      </w:r>
    </w:p>
    <w:p w14:paraId="2715ECED" w14:textId="77777777" w:rsidR="004A3BAA" w:rsidRDefault="004A3BAA" w:rsidP="00553205">
      <w:pPr>
        <w:jc w:val="both"/>
      </w:pPr>
    </w:p>
    <w:p w14:paraId="59A41C6E" w14:textId="38D59630" w:rsidR="00553205" w:rsidRDefault="002375FC" w:rsidP="00553205">
      <w:pPr>
        <w:jc w:val="both"/>
      </w:pPr>
      <w:r w:rsidRPr="009F39BF">
        <w:t xml:space="preserve">Kolme eelarveaasta pikkuse perioodi kohta tegevuskava koostamise puhul on lähtutud </w:t>
      </w:r>
      <w:r w:rsidR="00491EEC" w:rsidRPr="009F39BF">
        <w:t>selle otstarbekusest</w:t>
      </w:r>
      <w:r w:rsidR="00C8390F" w:rsidRPr="009F39BF">
        <w:t xml:space="preserve"> </w:t>
      </w:r>
      <w:r w:rsidR="00062B25" w:rsidRPr="009F39BF">
        <w:t>–</w:t>
      </w:r>
      <w:r w:rsidR="00062B25">
        <w:t xml:space="preserve"> </w:t>
      </w:r>
      <w:r w:rsidR="006371AC">
        <w:t xml:space="preserve">sellest </w:t>
      </w:r>
      <w:r w:rsidR="00062B25">
        <w:t>lühem periood</w:t>
      </w:r>
      <w:r w:rsidR="003671B4">
        <w:t xml:space="preserve"> </w:t>
      </w:r>
      <w:r w:rsidR="00062B25">
        <w:t xml:space="preserve">ei </w:t>
      </w:r>
      <w:r w:rsidR="00062B25" w:rsidRPr="00B7661D">
        <w:t xml:space="preserve">soosiks pikemaajalisema suunitlusega ideede ja tegevuste tegevuskavasse kaasamist </w:t>
      </w:r>
      <w:r w:rsidR="006371AC" w:rsidRPr="00B7661D">
        <w:t>ning</w:t>
      </w:r>
      <w:r w:rsidR="00062B25" w:rsidRPr="00B7661D">
        <w:t xml:space="preserve"> </w:t>
      </w:r>
      <w:r w:rsidR="00E77C3D" w:rsidRPr="00B7661D">
        <w:t xml:space="preserve">oleks </w:t>
      </w:r>
      <w:r w:rsidR="00A11554" w:rsidRPr="00B7661D">
        <w:t>administratiivse</w:t>
      </w:r>
      <w:r w:rsidR="00E77C3D" w:rsidRPr="00B7661D">
        <w:t>lt koormavam</w:t>
      </w:r>
      <w:r w:rsidR="00A11554" w:rsidRPr="00B7661D">
        <w:t xml:space="preserve">, pikem periood </w:t>
      </w:r>
      <w:r w:rsidR="00B7661D" w:rsidRPr="00B7661D">
        <w:t>aga tooks kaasa liigse jäikuse mesindussektori</w:t>
      </w:r>
      <w:r w:rsidR="00CD7759">
        <w:t>sse</w:t>
      </w:r>
      <w:r w:rsidR="00B7661D" w:rsidRPr="00B7661D">
        <w:t xml:space="preserve"> sekkumise meetme rakendamisel</w:t>
      </w:r>
      <w:r w:rsidR="00B7661D">
        <w:t xml:space="preserve"> ning</w:t>
      </w:r>
      <w:r w:rsidR="00E77C3D">
        <w:t xml:space="preserve"> </w:t>
      </w:r>
      <w:r w:rsidR="006371AC">
        <w:t xml:space="preserve">raskused </w:t>
      </w:r>
      <w:r w:rsidR="00B7661D">
        <w:t xml:space="preserve">vajalike ja tõhusate </w:t>
      </w:r>
      <w:r w:rsidR="006371AC">
        <w:t xml:space="preserve">tegevuste </w:t>
      </w:r>
      <w:r w:rsidR="00B7661D">
        <w:t xml:space="preserve">pika aja peale ette </w:t>
      </w:r>
      <w:r w:rsidR="006371AC">
        <w:t>planeerimisel.</w:t>
      </w:r>
      <w:r w:rsidR="00B7661D">
        <w:t xml:space="preserve"> </w:t>
      </w:r>
      <w:r w:rsidR="003671B4">
        <w:t xml:space="preserve">Kolme eelarveaasta pikkuse tegevuskava </w:t>
      </w:r>
      <w:r w:rsidR="0054328E">
        <w:t>koostamist</w:t>
      </w:r>
      <w:r w:rsidR="003671B4">
        <w:t xml:space="preserve"> toetab ka </w:t>
      </w:r>
      <w:r w:rsidR="003279F5">
        <w:t>mesindusprogrammide</w:t>
      </w:r>
      <w:r w:rsidR="003671B4">
        <w:t xml:space="preserve"> kog</w:t>
      </w:r>
      <w:r w:rsidR="0054328E">
        <w:t>emus, kus programme</w:t>
      </w:r>
      <w:r w:rsidR="003671B4">
        <w:t xml:space="preserve"> rakenda</w:t>
      </w:r>
      <w:r w:rsidR="00491EEC">
        <w:t>ti samuti kolme aasta pikkuste perioodide kaupa</w:t>
      </w:r>
      <w:r w:rsidR="003671B4">
        <w:t>.</w:t>
      </w:r>
      <w:r w:rsidR="0013310B">
        <w:t xml:space="preserve"> Erinevalt </w:t>
      </w:r>
      <w:r w:rsidR="00326293">
        <w:t xml:space="preserve">aga </w:t>
      </w:r>
      <w:r w:rsidR="0013310B">
        <w:t>mesindussektori</w:t>
      </w:r>
      <w:r w:rsidR="00CD7759">
        <w:t>sse</w:t>
      </w:r>
      <w:r w:rsidR="0013310B">
        <w:t xml:space="preserve"> sekkumisest </w:t>
      </w:r>
      <w:r w:rsidR="00326293">
        <w:t>nähti mesindusprogrammi</w:t>
      </w:r>
      <w:r w:rsidR="006F4D9F">
        <w:t>de</w:t>
      </w:r>
      <w:r w:rsidR="00326293">
        <w:t xml:space="preserve"> puhul </w:t>
      </w:r>
      <w:r w:rsidR="006F6C7A">
        <w:t xml:space="preserve">programmi kolme aasta pikkune rakendusperiood ühtselt kõikidele </w:t>
      </w:r>
      <w:r w:rsidR="00C51181">
        <w:t xml:space="preserve">liikmesriikidele ette </w:t>
      </w:r>
      <w:r w:rsidR="00334939">
        <w:t>EL õigusaktis</w:t>
      </w:r>
      <w:r w:rsidR="007128FF">
        <w:rPr>
          <w:rStyle w:val="FootnoteReference"/>
          <w:color w:val="000000" w:themeColor="text1"/>
        </w:rPr>
        <w:footnoteReference w:id="1"/>
      </w:r>
      <w:r w:rsidR="00C51181">
        <w:t>.</w:t>
      </w:r>
      <w:r w:rsidR="00334939">
        <w:t xml:space="preserve"> </w:t>
      </w:r>
      <w:r w:rsidR="00C51181">
        <w:t>Programm tuli koostada</w:t>
      </w:r>
      <w:r w:rsidR="00334939">
        <w:t xml:space="preserve"> </w:t>
      </w:r>
      <w:r w:rsidR="00326293">
        <w:t>kolme mesindusaasta</w:t>
      </w:r>
      <w:r w:rsidR="00334939">
        <w:t xml:space="preserve"> kohta</w:t>
      </w:r>
      <w:r w:rsidR="00C51181">
        <w:t xml:space="preserve"> (m</w:t>
      </w:r>
      <w:r w:rsidR="00326293">
        <w:t>esindusaasta</w:t>
      </w:r>
      <w:r w:rsidR="00C51181">
        <w:t>na</w:t>
      </w:r>
      <w:r w:rsidR="00326293">
        <w:t xml:space="preserve"> oli </w:t>
      </w:r>
      <w:r w:rsidR="00C51181">
        <w:t xml:space="preserve">EL õigusaktis sätestatud </w:t>
      </w:r>
      <w:r w:rsidR="00326293" w:rsidRPr="00334939">
        <w:t>12 järjestikust kuud alates 1. augustist kuni 31. juulini</w:t>
      </w:r>
      <w:r w:rsidR="00C51181">
        <w:t>)</w:t>
      </w:r>
      <w:r w:rsidR="00326293" w:rsidRPr="00334939">
        <w:t>.</w:t>
      </w:r>
      <w:r w:rsidR="00326293">
        <w:t xml:space="preserve"> </w:t>
      </w:r>
      <w:r w:rsidR="00C51181">
        <w:t>Mesindussektori</w:t>
      </w:r>
      <w:r w:rsidR="00CD7759">
        <w:t>sse</w:t>
      </w:r>
      <w:r w:rsidR="00C51181">
        <w:t xml:space="preserve"> sekkumise puhul</w:t>
      </w:r>
      <w:r w:rsidR="00334939">
        <w:t xml:space="preserve"> mesindusaasta</w:t>
      </w:r>
      <w:r w:rsidR="00C51181">
        <w:t xml:space="preserve"> mõistet enam ei kasutata.</w:t>
      </w:r>
      <w:r w:rsidR="00334939">
        <w:t xml:space="preserve">  </w:t>
      </w:r>
      <w:r w:rsidR="00041AE0">
        <w:t xml:space="preserve"> </w:t>
      </w:r>
    </w:p>
    <w:p w14:paraId="07E39117" w14:textId="77777777" w:rsidR="00553205" w:rsidRDefault="00553205" w:rsidP="00D93E58">
      <w:pPr>
        <w:jc w:val="both"/>
      </w:pPr>
    </w:p>
    <w:p w14:paraId="5AE14C69" w14:textId="1FEC6E5A" w:rsidR="005B4A74" w:rsidRDefault="005B4A74" w:rsidP="00BC6740">
      <w:pPr>
        <w:pStyle w:val="Tekst"/>
        <w:jc w:val="both"/>
      </w:pPr>
      <w:r>
        <w:t xml:space="preserve">16. oktoobril 2025. a algava ja ÜPP strateegiakava viimase aasta 15. oktoobril lõppeva perioodi kohta koostatava tegevuskava puhul tuleb arvestada, et </w:t>
      </w:r>
      <w:r w:rsidR="002A54A2">
        <w:t xml:space="preserve">kuna </w:t>
      </w:r>
      <w:r>
        <w:t>käesoleva määruse eelnõu koostamise hetkel kehtivate EL õigusaktide kohaselt on ÜPP stra</w:t>
      </w:r>
      <w:r w:rsidR="004B1A8D">
        <w:t>teegiakava</w:t>
      </w:r>
      <w:r w:rsidR="0024744F">
        <w:t xml:space="preserve"> rakendamine </w:t>
      </w:r>
      <w:r>
        <w:t xml:space="preserve">ette </w:t>
      </w:r>
      <w:r w:rsidR="0024744F">
        <w:t xml:space="preserve">nähtud </w:t>
      </w:r>
      <w:r>
        <w:t xml:space="preserve">kuni </w:t>
      </w:r>
      <w:r w:rsidR="002C62C5">
        <w:t xml:space="preserve">31. detsembrini </w:t>
      </w:r>
      <w:r>
        <w:t>20</w:t>
      </w:r>
      <w:r w:rsidR="002C62C5">
        <w:t>27. a</w:t>
      </w:r>
      <w:r w:rsidR="002A54A2">
        <w:t xml:space="preserve">, siis lõppeb </w:t>
      </w:r>
      <w:r w:rsidR="0024744F">
        <w:t xml:space="preserve">see </w:t>
      </w:r>
      <w:r w:rsidR="002A54A2">
        <w:t xml:space="preserve">periood 15. oktoobril 2027. a ning </w:t>
      </w:r>
      <w:r w:rsidR="0024744F">
        <w:t xml:space="preserve">tegevuskava koostatakse sellest tulenevalt kahe eelarveaasta pikkuse </w:t>
      </w:r>
      <w:r w:rsidR="002A54A2">
        <w:t xml:space="preserve">perioodi </w:t>
      </w:r>
      <w:r w:rsidR="0024744F">
        <w:t>kohta</w:t>
      </w:r>
      <w:r w:rsidR="002A54A2">
        <w:t xml:space="preserve">. </w:t>
      </w:r>
      <w:r w:rsidR="00330DE9">
        <w:t>Niipea k</w:t>
      </w:r>
      <w:r w:rsidR="0024744F">
        <w:t>ui EL</w:t>
      </w:r>
      <w:r w:rsidR="003D3A57">
        <w:t>-i</w:t>
      </w:r>
      <w:r w:rsidR="0024744F">
        <w:t xml:space="preserve"> tasandil võetakse vastu otsus ELi 2023–2027 eelarveperioodil mesindussektorisse sekkumise rakendamise pikendamise kohta 2028. aastani</w:t>
      </w:r>
      <w:r w:rsidR="00330DE9">
        <w:t xml:space="preserve">, muudetakse käesolevat määrust selliselt, et 16. oktoobril 2025. a algav perioodi lõppeb 15. oktoobril 2028. a ning antud perioodi kahe esimese eelarveaasta kohta tegevuskava koostanud mesinduskogu </w:t>
      </w:r>
      <w:r w:rsidR="004B1A8D">
        <w:t>koostab ja lisab olemasolevale tegevuskavale täiendava tegevuskava 16. oktoobril 2027. a algava ja 15 oktoobril 20</w:t>
      </w:r>
      <w:r w:rsidR="003D3A57">
        <w:t>28. a lõppeva eelarveaasta osas</w:t>
      </w:r>
      <w:r w:rsidR="004B1A8D">
        <w:t xml:space="preserve">. </w:t>
      </w:r>
      <w:r>
        <w:t xml:space="preserve">Selline </w:t>
      </w:r>
      <w:r w:rsidR="004B1A8D">
        <w:t xml:space="preserve">meetme </w:t>
      </w:r>
      <w:r>
        <w:t xml:space="preserve">pikendamine </w:t>
      </w:r>
      <w:r w:rsidR="004B1A8D">
        <w:t xml:space="preserve">EL-i tasandil </w:t>
      </w:r>
      <w:r w:rsidR="00330DE9">
        <w:t>on vägagi</w:t>
      </w:r>
      <w:r>
        <w:t xml:space="preserve"> tõenäoline, sest sellist üleminekumeedet kasutati mesindussektori toetamisel ka eelmisel, EL</w:t>
      </w:r>
      <w:r w:rsidR="003D3A57">
        <w:t>-</w:t>
      </w:r>
      <w:r>
        <w:t>i 2014–2020 eelarveperioodil mesindusprogrammide meetme rakendamisel</w:t>
      </w:r>
      <w:r>
        <w:rPr>
          <w:rStyle w:val="FootnoteReference"/>
          <w:color w:val="000000" w:themeColor="text1"/>
        </w:rPr>
        <w:footnoteReference w:id="2"/>
      </w:r>
      <w:r>
        <w:t xml:space="preserve">. </w:t>
      </w:r>
    </w:p>
    <w:p w14:paraId="2062FFAD" w14:textId="77777777" w:rsidR="005B4A74" w:rsidRDefault="005B4A74" w:rsidP="00BC6740">
      <w:pPr>
        <w:pStyle w:val="Tekst"/>
        <w:jc w:val="both"/>
      </w:pPr>
    </w:p>
    <w:p w14:paraId="3A966156" w14:textId="69208A35" w:rsidR="00091B48" w:rsidRDefault="00E1508B" w:rsidP="00BC6740">
      <w:pPr>
        <w:pStyle w:val="Tekst"/>
        <w:jc w:val="both"/>
      </w:pPr>
      <w:r w:rsidRPr="00E1508B">
        <w:t>2023. aastal teg</w:t>
      </w:r>
      <w:r>
        <w:t>evuskava heakskiitmisega</w:t>
      </w:r>
      <w:r w:rsidR="00D93E58">
        <w:t xml:space="preserve"> algava ja 15. oktoobril 2025. a</w:t>
      </w:r>
      <w:r>
        <w:t>astal</w:t>
      </w:r>
      <w:r w:rsidR="00D93E58">
        <w:t xml:space="preserve"> lõ</w:t>
      </w:r>
      <w:r w:rsidR="00AC405F">
        <w:t>ppeva perioodi k</w:t>
      </w:r>
      <w:r>
        <w:t>ohta</w:t>
      </w:r>
      <w:r w:rsidR="00D93E58">
        <w:t xml:space="preserve"> tegevuskava </w:t>
      </w:r>
      <w:r w:rsidR="00AC405F">
        <w:t xml:space="preserve">koostamisel ja rakendamisel </w:t>
      </w:r>
      <w:r w:rsidR="00D93E58" w:rsidRPr="004A3BAA">
        <w:t xml:space="preserve">tuleb </w:t>
      </w:r>
      <w:r w:rsidR="005B4A74">
        <w:t xml:space="preserve">aga </w:t>
      </w:r>
      <w:r w:rsidR="00D93E58" w:rsidRPr="004A3BAA">
        <w:t xml:space="preserve">arvestada, et </w:t>
      </w:r>
      <w:r w:rsidR="00203D57" w:rsidRPr="004A3BAA">
        <w:t>perioodi esimene aasta on eelarveaastast lühem.</w:t>
      </w:r>
      <w:r w:rsidR="00C83CB2">
        <w:t xml:space="preserve"> </w:t>
      </w:r>
      <w:r w:rsidR="00204334">
        <w:t>E</w:t>
      </w:r>
      <w:r w:rsidR="00BC6740">
        <w:t xml:space="preserve">siteks, </w:t>
      </w:r>
      <w:r w:rsidR="00B05904">
        <w:t>vastavalt ÜPP strateegiakavade määruse artikli 86 lõike</w:t>
      </w:r>
      <w:r w:rsidR="00BC6740">
        <w:t xml:space="preserve"> 1 punktile a on tegevuskava rakendamisega seotud rahalised kulud abikõlblikud alates selle aasta 1. jaanuarist, mis järgneb aastale, mil komisjon ÜPP strateegiakava heaks kiidab</w:t>
      </w:r>
      <w:r w:rsidR="00204334">
        <w:t>, e</w:t>
      </w:r>
      <w:r w:rsidR="00BC6740">
        <w:t>hk mitte enne 1. jaanu</w:t>
      </w:r>
      <w:r w:rsidR="009850BB">
        <w:t>arit 2023. a. Teiseks aga ei ole</w:t>
      </w:r>
      <w:r w:rsidR="00BC6740">
        <w:t xml:space="preserve"> tegevuskava</w:t>
      </w:r>
      <w:r w:rsidR="009850BB">
        <w:t xml:space="preserve">s sisalduvate tegevustega seotud kulud abikõlblikud </w:t>
      </w:r>
      <w:r w:rsidR="00BC6740">
        <w:t>enne</w:t>
      </w:r>
      <w:r w:rsidR="009850BB">
        <w:t>, kui tegevuskava</w:t>
      </w:r>
      <w:r w:rsidR="00310377">
        <w:t xml:space="preserve"> on PRIA</w:t>
      </w:r>
      <w:r w:rsidR="00CC78D5">
        <w:t>-le heakskiitmiseks esitatud</w:t>
      </w:r>
      <w:r w:rsidR="00310377">
        <w:t>. Tegevuskava saab heakskiitmiseks esitada peale käesoleva määruse jõustumist</w:t>
      </w:r>
      <w:r w:rsidR="00BC6740">
        <w:t>.</w:t>
      </w:r>
    </w:p>
    <w:p w14:paraId="3620FCC8" w14:textId="3EA10D2B" w:rsidR="0064197D" w:rsidRDefault="00785183" w:rsidP="00D93E58">
      <w:pPr>
        <w:pStyle w:val="Tekst"/>
        <w:jc w:val="both"/>
      </w:pPr>
      <w:r>
        <w:t xml:space="preserve">  </w:t>
      </w:r>
    </w:p>
    <w:p w14:paraId="2EEC4C6D" w14:textId="4C522546" w:rsidR="0064197D" w:rsidRDefault="00310377" w:rsidP="0066776B">
      <w:pPr>
        <w:pStyle w:val="Tekst"/>
        <w:jc w:val="both"/>
      </w:pPr>
      <w:r>
        <w:lastRenderedPageBreak/>
        <w:t>Lõikes 2 sätestatakse</w:t>
      </w:r>
      <w:r w:rsidR="0044088D">
        <w:t xml:space="preserve"> koostatava tegevuskava </w:t>
      </w:r>
      <w:r>
        <w:t>üldine struktuur</w:t>
      </w:r>
      <w:r w:rsidR="0066776B">
        <w:t xml:space="preserve"> ja </w:t>
      </w:r>
      <w:r>
        <w:t>eelarve</w:t>
      </w:r>
      <w:r w:rsidR="0044088D">
        <w:t xml:space="preserve">. </w:t>
      </w:r>
      <w:r w:rsidR="0066776B">
        <w:t>Nimelt tuleb tegevuskava tegevused kavandada ühelt poolt</w:t>
      </w:r>
      <w:r w:rsidR="0066776B" w:rsidRPr="0066776B">
        <w:t xml:space="preserve"> </w:t>
      </w:r>
      <w:r w:rsidR="0066776B">
        <w:t>kõikide strateegiakavas</w:t>
      </w:r>
      <w:r w:rsidR="00C83CB2">
        <w:t xml:space="preserve"> ja käesolevas määruses</w:t>
      </w:r>
      <w:r w:rsidR="0066776B">
        <w:t xml:space="preserve"> sätestatud </w:t>
      </w:r>
      <w:r w:rsidR="0066776B" w:rsidRPr="00944CD9">
        <w:t>mesindussektori</w:t>
      </w:r>
      <w:r w:rsidR="00346546">
        <w:t>sse</w:t>
      </w:r>
      <w:r w:rsidR="0066776B" w:rsidRPr="00944CD9">
        <w:t xml:space="preserve"> sekkumis</w:t>
      </w:r>
      <w:r w:rsidR="00346546">
        <w:t xml:space="preserve">e </w:t>
      </w:r>
      <w:r w:rsidR="0066776B" w:rsidRPr="00944CD9">
        <w:t>viiside kaupa</w:t>
      </w:r>
      <w:r w:rsidR="0066776B">
        <w:t xml:space="preserve">, teiselt poolt peavad kavandatavate tegevustega seotud kulud jääma </w:t>
      </w:r>
      <w:r w:rsidR="00C83CB2">
        <w:t>eelarveaastate</w:t>
      </w:r>
      <w:r w:rsidR="0066776B">
        <w:t xml:space="preserve"> ja ELÜPS </w:t>
      </w:r>
      <w:r w:rsidR="0066776B" w:rsidRPr="00944CD9">
        <w:t>§ 11 lõike 3 alusel maaeluministri käskkirjaga sätestatud toetuse raha</w:t>
      </w:r>
      <w:r w:rsidR="0066776B">
        <w:t xml:space="preserve">liste vahendite jaotuse piiresse. </w:t>
      </w:r>
    </w:p>
    <w:p w14:paraId="3A3CCD50" w14:textId="77777777" w:rsidR="0064197D" w:rsidRDefault="0064197D" w:rsidP="0066776B">
      <w:pPr>
        <w:pStyle w:val="Tekst"/>
        <w:jc w:val="both"/>
      </w:pPr>
    </w:p>
    <w:p w14:paraId="499D3620" w14:textId="1CBCA754" w:rsidR="0066776B" w:rsidRDefault="00A17376" w:rsidP="0066776B">
      <w:pPr>
        <w:jc w:val="both"/>
      </w:pPr>
      <w:r>
        <w:t>Lõik</w:t>
      </w:r>
      <w:r w:rsidR="00B705E3">
        <w:t>es 3 esitatakse</w:t>
      </w:r>
      <w:r w:rsidR="0025372F">
        <w:t xml:space="preserve"> </w:t>
      </w:r>
      <w:r w:rsidR="00B705E3">
        <w:t>ÜPP strateegiakavas sisalduvate mesindussektori</w:t>
      </w:r>
      <w:r w:rsidR="00346546">
        <w:t>sse</w:t>
      </w:r>
      <w:r w:rsidR="00B705E3">
        <w:t xml:space="preserve"> sekkumis</w:t>
      </w:r>
      <w:r w:rsidR="00346546">
        <w:t xml:space="preserve">e </w:t>
      </w:r>
      <w:r w:rsidR="00B705E3">
        <w:t>viiside loetelu</w:t>
      </w:r>
      <w:r w:rsidR="00BF4A66">
        <w:t xml:space="preserve"> viidetena ÜPP strateegiakavade määruse </w:t>
      </w:r>
      <w:r w:rsidR="00482735">
        <w:t>vastavatele sätetele</w:t>
      </w:r>
      <w:r w:rsidR="007E423B">
        <w:t xml:space="preserve">. </w:t>
      </w:r>
      <w:r w:rsidR="00482735">
        <w:t>Loetelus</w:t>
      </w:r>
      <w:r w:rsidR="0067210C">
        <w:t xml:space="preserve"> on sekkumisviisid, mis on </w:t>
      </w:r>
      <w:r w:rsidR="00BF4A66">
        <w:t xml:space="preserve">valitud </w:t>
      </w:r>
      <w:r w:rsidR="0067210C">
        <w:t>Eestis</w:t>
      </w:r>
      <w:r w:rsidR="00BF4A66">
        <w:t xml:space="preserve"> </w:t>
      </w:r>
      <w:r w:rsidR="0067210C">
        <w:t>me</w:t>
      </w:r>
      <w:r w:rsidR="00BF4A66">
        <w:t>sindussektori</w:t>
      </w:r>
      <w:r w:rsidR="00346546">
        <w:t>sse</w:t>
      </w:r>
      <w:r w:rsidR="00BF4A66">
        <w:t xml:space="preserve"> sekkumise</w:t>
      </w:r>
      <w:r w:rsidR="0067210C">
        <w:t xml:space="preserve"> eesmärgi</w:t>
      </w:r>
      <w:r w:rsidR="00BF4A66">
        <w:t>ni jõudmiseks. Koostatavas tegevuskavas kavandatakse tegevused eraldi iga loetelus oleva sekkumisviisi kohta</w:t>
      </w:r>
      <w:r w:rsidR="0067210C">
        <w:t>.</w:t>
      </w:r>
      <w:r w:rsidR="00BF4A66">
        <w:t xml:space="preserve"> </w:t>
      </w:r>
      <w:r w:rsidR="0025372F">
        <w:t>Eestis rakendatavad mesindussektori</w:t>
      </w:r>
      <w:r w:rsidR="00346546">
        <w:t>sse</w:t>
      </w:r>
      <w:r w:rsidR="0025372F">
        <w:t xml:space="preserve"> sekkumis</w:t>
      </w:r>
      <w:r w:rsidR="00346546">
        <w:t xml:space="preserve">e </w:t>
      </w:r>
      <w:r w:rsidR="0025372F">
        <w:t xml:space="preserve">viisid selgitati välja </w:t>
      </w:r>
      <w:r w:rsidR="0025372F" w:rsidRPr="003C7309">
        <w:t>mesindus</w:t>
      </w:r>
      <w:r w:rsidR="0025372F">
        <w:t>sektori esindus</w:t>
      </w:r>
      <w:r w:rsidR="0025372F" w:rsidRPr="003C7309">
        <w:t>organisatsioonide esitatud ettepanekute põhjal</w:t>
      </w:r>
      <w:r w:rsidR="00AF7FD4">
        <w:t xml:space="preserve"> M</w:t>
      </w:r>
      <w:r w:rsidR="0025372F" w:rsidRPr="004A47A1">
        <w:t xml:space="preserve">aaeluministeeriumi juhtimisel </w:t>
      </w:r>
      <w:r w:rsidR="0025372F">
        <w:t xml:space="preserve">ÜPP strateegiakava </w:t>
      </w:r>
      <w:r w:rsidR="0025372F" w:rsidRPr="003C7309">
        <w:t>ettevalmistamisel toimunud arutelude käigus</w:t>
      </w:r>
      <w:r w:rsidR="0025372F">
        <w:t>.</w:t>
      </w:r>
      <w:r w:rsidR="00D02E93">
        <w:t xml:space="preserve"> Eestis rakendatavateks sekkumisviisideks on:</w:t>
      </w:r>
    </w:p>
    <w:p w14:paraId="1C57DA45" w14:textId="5207F7A6" w:rsidR="00D02E93" w:rsidRPr="001B2E0A" w:rsidRDefault="00D02E93" w:rsidP="00D02E93">
      <w:pPr>
        <w:jc w:val="both"/>
      </w:pPr>
      <w:r>
        <w:t>1</w:t>
      </w:r>
      <w:r w:rsidRPr="00A617E6">
        <w:t xml:space="preserve">) </w:t>
      </w:r>
      <w:r w:rsidRPr="001B2E0A">
        <w:t>mesinikele ja nende organisatsioonidele suunatud nõustamisteenused</w:t>
      </w:r>
      <w:r w:rsidRPr="00D750F6">
        <w:t>, tehniline abi,</w:t>
      </w:r>
      <w:r w:rsidRPr="001B2E0A">
        <w:t xml:space="preserve"> koolitus, teave ja parimate praktikate vahetamine, sealhulgas võrgustike kaudu;</w:t>
      </w:r>
    </w:p>
    <w:p w14:paraId="715D4B74" w14:textId="0291CB1E" w:rsidR="00D02E93" w:rsidRDefault="00D02E93" w:rsidP="00D02E93">
      <w:pPr>
        <w:jc w:val="both"/>
      </w:pPr>
      <w:r>
        <w:t>2</w:t>
      </w:r>
      <w:r w:rsidRPr="00A617E6">
        <w:t>) investeeringud materiaalsesse ja immateriaalsesse varasse ning muud tegevused</w:t>
      </w:r>
      <w:r w:rsidRPr="00FB5A7B">
        <w:t xml:space="preserve"> võitlus</w:t>
      </w:r>
      <w:r w:rsidR="00076B84">
        <w:t>eks</w:t>
      </w:r>
      <w:r w:rsidRPr="00FB5A7B">
        <w:t xml:space="preserve"> kahjurite ja mesilaste haigustega, eriti </w:t>
      </w:r>
      <w:r>
        <w:t>varroatoosi tõrje</w:t>
      </w:r>
      <w:r w:rsidR="00076B84">
        <w:t>ks</w:t>
      </w:r>
      <w:r w:rsidRPr="00FB5A7B">
        <w:t>;</w:t>
      </w:r>
    </w:p>
    <w:p w14:paraId="232483F0" w14:textId="608D19D6" w:rsidR="00D02E93" w:rsidRPr="001B2E0A" w:rsidRDefault="00D02E93" w:rsidP="00D02E93">
      <w:pPr>
        <w:jc w:val="both"/>
      </w:pPr>
      <w:r>
        <w:t>3</w:t>
      </w:r>
      <w:r w:rsidRPr="00A617E6">
        <w:t xml:space="preserve">) </w:t>
      </w:r>
      <w:r w:rsidRPr="001B2E0A">
        <w:t>tegevused laboratooriumide toetamiseks mesindustoodete, mesilaste kao või tootlikkuse languse ja mesilastele potentsiaalselt toksiliste ainete analüüsimise eest;</w:t>
      </w:r>
    </w:p>
    <w:p w14:paraId="4AE64183" w14:textId="3DE57280" w:rsidR="00D02E93" w:rsidRPr="001B2E0A" w:rsidRDefault="00D02E93" w:rsidP="00D02E93">
      <w:pPr>
        <w:jc w:val="both"/>
      </w:pPr>
      <w:r>
        <w:t>4</w:t>
      </w:r>
      <w:r w:rsidRPr="00A617E6">
        <w:t xml:space="preserve">) </w:t>
      </w:r>
      <w:r w:rsidRPr="001B2E0A">
        <w:t>koostöö asutustega, kes on spetsialiseerunud mesindust ja mesindustooteid käsitlevate teadusprogrammide rakendamisele;</w:t>
      </w:r>
    </w:p>
    <w:p w14:paraId="7E6C28AF" w14:textId="3C8E4741" w:rsidR="00D02E93" w:rsidRPr="001B2E0A" w:rsidRDefault="00D02E93" w:rsidP="00D02E93">
      <w:pPr>
        <w:jc w:val="both"/>
      </w:pPr>
      <w:r>
        <w:rPr>
          <w:lang w:eastAsia="en-GB"/>
        </w:rPr>
        <w:t>5</w:t>
      </w:r>
      <w:r w:rsidRPr="00A617E6">
        <w:rPr>
          <w:lang w:eastAsia="en-GB"/>
        </w:rPr>
        <w:t xml:space="preserve">) </w:t>
      </w:r>
      <w:r w:rsidRPr="001B2E0A">
        <w:rPr>
          <w:lang w:eastAsia="en-GB"/>
        </w:rPr>
        <w:t>müügiedendus, teavitustegevus ja turundus, sealhulgas turuseire ning tegevused, mille eesmärk on eelkõige tõsta tarbijate teadlikkust mesindustoodete kvaliteedist.</w:t>
      </w:r>
    </w:p>
    <w:p w14:paraId="5CB3A432" w14:textId="1F46B3D8" w:rsidR="00D02E93" w:rsidRDefault="00D02E93" w:rsidP="0066776B">
      <w:pPr>
        <w:jc w:val="both"/>
      </w:pPr>
    </w:p>
    <w:p w14:paraId="4CE29D0F" w14:textId="5E68C55B" w:rsidR="00EC6941" w:rsidRDefault="00EC6941" w:rsidP="00877A8F">
      <w:pPr>
        <w:jc w:val="both"/>
      </w:pPr>
      <w:r>
        <w:t>Eestis rakendamiseks valitud mesindussektori</w:t>
      </w:r>
      <w:r w:rsidR="00346546">
        <w:t>sse</w:t>
      </w:r>
      <w:r>
        <w:t xml:space="preserve"> sekkumis</w:t>
      </w:r>
      <w:r w:rsidR="00346546">
        <w:t xml:space="preserve">e </w:t>
      </w:r>
      <w:r>
        <w:t xml:space="preserve">viisid katavad kõiki EL-i eelmisel, 2014–2020 eelarveperioodil Eestis rakendatud mesindusprogrammide meetmeid. </w:t>
      </w:r>
      <w:r w:rsidR="00C94687">
        <w:t xml:space="preserve">Vajadustest ja eelarve suurenemisest tulenevalt </w:t>
      </w:r>
      <w:r w:rsidR="00E810E0">
        <w:t>on võrreldes mesindusprogrammides rakendatuga lisandunud koostöö mesindust ja mesindustooteid käsitlevate teadusasutustega ning müügiedendus, teavitustegevus ja turundus.</w:t>
      </w:r>
      <w:r w:rsidR="00C94687">
        <w:t xml:space="preserve"> </w:t>
      </w:r>
      <w:r>
        <w:t xml:space="preserve">   </w:t>
      </w:r>
    </w:p>
    <w:p w14:paraId="7BD585EA" w14:textId="77777777" w:rsidR="00EC6941" w:rsidRDefault="00EC6941" w:rsidP="00877A8F">
      <w:pPr>
        <w:jc w:val="both"/>
      </w:pPr>
    </w:p>
    <w:p w14:paraId="7C2B7273" w14:textId="104AAEFF" w:rsidR="00576054" w:rsidRDefault="00576054" w:rsidP="00576054">
      <w:pPr>
        <w:jc w:val="both"/>
        <w:rPr>
          <w:color w:val="000000" w:themeColor="text1"/>
        </w:rPr>
      </w:pPr>
      <w:r>
        <w:rPr>
          <w:color w:val="000000" w:themeColor="text1"/>
        </w:rPr>
        <w:t xml:space="preserve">Lõige </w:t>
      </w:r>
      <w:r w:rsidR="00820754">
        <w:rPr>
          <w:color w:val="000000" w:themeColor="text1"/>
        </w:rPr>
        <w:t>4</w:t>
      </w:r>
      <w:r>
        <w:rPr>
          <w:color w:val="000000" w:themeColor="text1"/>
        </w:rPr>
        <w:t xml:space="preserve"> sätestab tegevuskava sisu. Tegevuskavas peab olema kirjas </w:t>
      </w:r>
      <w:r w:rsidRPr="00C208B2">
        <w:rPr>
          <w:color w:val="000000" w:themeColor="text1"/>
        </w:rPr>
        <w:t xml:space="preserve">mesinduskogu nimi, </w:t>
      </w:r>
      <w:r w:rsidR="00820754" w:rsidRPr="00820754">
        <w:rPr>
          <w:color w:val="000000" w:themeColor="text1"/>
        </w:rPr>
        <w:t xml:space="preserve">mittetulundusühingu puhul registri kood, </w:t>
      </w:r>
      <w:r w:rsidRPr="00C208B2">
        <w:rPr>
          <w:color w:val="000000" w:themeColor="text1"/>
        </w:rPr>
        <w:t>mesinduskogu esindaja nimi ja kontaktand</w:t>
      </w:r>
      <w:r>
        <w:rPr>
          <w:color w:val="000000" w:themeColor="text1"/>
        </w:rPr>
        <w:t>med</w:t>
      </w:r>
      <w:r w:rsidR="00117789">
        <w:rPr>
          <w:color w:val="000000" w:themeColor="text1"/>
        </w:rPr>
        <w:t xml:space="preserve">, samuti </w:t>
      </w:r>
      <w:r w:rsidR="00117789" w:rsidRPr="00C208B2">
        <w:rPr>
          <w:color w:val="000000" w:themeColor="text1"/>
        </w:rPr>
        <w:t>mesinduskogu liikmete ja partneri nimed ja kontaktandmed</w:t>
      </w:r>
      <w:r w:rsidR="00117789">
        <w:rPr>
          <w:color w:val="000000" w:themeColor="text1"/>
        </w:rPr>
        <w:t xml:space="preserve">. </w:t>
      </w:r>
      <w:r w:rsidR="001641AE">
        <w:rPr>
          <w:color w:val="000000" w:themeColor="text1"/>
        </w:rPr>
        <w:t xml:space="preserve">Mesinduskogu partneri puhul tuleb esitada </w:t>
      </w:r>
      <w:r w:rsidR="00820754">
        <w:rPr>
          <w:color w:val="000000" w:themeColor="text1"/>
        </w:rPr>
        <w:t>tema</w:t>
      </w:r>
      <w:r w:rsidR="001641AE">
        <w:rPr>
          <w:color w:val="000000" w:themeColor="text1"/>
        </w:rPr>
        <w:t xml:space="preserve"> varasema</w:t>
      </w:r>
      <w:r w:rsidR="001641AE" w:rsidRPr="001641AE">
        <w:rPr>
          <w:color w:val="000000" w:themeColor="text1"/>
        </w:rPr>
        <w:t xml:space="preserve"> mesinduse ja meetoodete uuringutegevuse kogemuse või põllumajanduse ja maaelu valdkonna</w:t>
      </w:r>
      <w:r w:rsidR="001641AE">
        <w:rPr>
          <w:color w:val="000000" w:themeColor="text1"/>
        </w:rPr>
        <w:t>s</w:t>
      </w:r>
      <w:r w:rsidR="001641AE" w:rsidRPr="001641AE">
        <w:rPr>
          <w:color w:val="000000" w:themeColor="text1"/>
        </w:rPr>
        <w:t xml:space="preserve"> </w:t>
      </w:r>
      <w:r w:rsidR="001641AE">
        <w:rPr>
          <w:color w:val="000000" w:themeColor="text1"/>
        </w:rPr>
        <w:t xml:space="preserve">omatavate </w:t>
      </w:r>
      <w:r w:rsidR="001641AE" w:rsidRPr="001641AE">
        <w:rPr>
          <w:color w:val="000000" w:themeColor="text1"/>
        </w:rPr>
        <w:t>kogemuste ja ekspertteadmiste kirjeldus</w:t>
      </w:r>
      <w:r w:rsidR="001641AE">
        <w:rPr>
          <w:color w:val="000000" w:themeColor="text1"/>
        </w:rPr>
        <w:t xml:space="preserve">. </w:t>
      </w:r>
      <w:r w:rsidR="00877F4A">
        <w:rPr>
          <w:color w:val="000000" w:themeColor="text1"/>
        </w:rPr>
        <w:t xml:space="preserve">Seejärel peab tegevuskavas olema selgelt välja toodud mesinduskogu ja partneri </w:t>
      </w:r>
      <w:r w:rsidR="00EB546D">
        <w:rPr>
          <w:color w:val="000000" w:themeColor="text1"/>
        </w:rPr>
        <w:t xml:space="preserve">vaheline ülesannete ja panuste jaotus </w:t>
      </w:r>
      <w:r w:rsidR="00877F4A">
        <w:rPr>
          <w:color w:val="000000" w:themeColor="text1"/>
        </w:rPr>
        <w:t>tegevuskava koostamise, täitmise ja arua</w:t>
      </w:r>
      <w:r w:rsidR="00FF725C">
        <w:rPr>
          <w:color w:val="000000" w:themeColor="text1"/>
        </w:rPr>
        <w:t>ndmisega seoses. Selleks</w:t>
      </w:r>
      <w:r w:rsidR="00877F4A">
        <w:rPr>
          <w:color w:val="000000" w:themeColor="text1"/>
        </w:rPr>
        <w:t xml:space="preserve"> esitatakse </w:t>
      </w:r>
      <w:r w:rsidR="000C2D17">
        <w:rPr>
          <w:color w:val="000000" w:themeColor="text1"/>
        </w:rPr>
        <w:t xml:space="preserve">ülevaade </w:t>
      </w:r>
      <w:r w:rsidR="00FF725C">
        <w:rPr>
          <w:color w:val="000000" w:themeColor="text1"/>
        </w:rPr>
        <w:t xml:space="preserve">tegevuskava koostamise, täitmise ja aruandlusega seoses </w:t>
      </w:r>
      <w:r w:rsidR="000C2D17">
        <w:rPr>
          <w:color w:val="000000" w:themeColor="text1"/>
        </w:rPr>
        <w:t xml:space="preserve">partneri poolt </w:t>
      </w:r>
      <w:r w:rsidR="00FF725C">
        <w:rPr>
          <w:color w:val="000000" w:themeColor="text1"/>
        </w:rPr>
        <w:t>teostatavate konkreetsete</w:t>
      </w:r>
      <w:r w:rsidR="00A73353">
        <w:rPr>
          <w:color w:val="000000" w:themeColor="text1"/>
        </w:rPr>
        <w:t xml:space="preserve"> </w:t>
      </w:r>
      <w:r w:rsidR="00EB546D">
        <w:rPr>
          <w:color w:val="000000" w:themeColor="text1"/>
        </w:rPr>
        <w:t>tööd</w:t>
      </w:r>
      <w:r w:rsidR="000C2D17">
        <w:rPr>
          <w:color w:val="000000" w:themeColor="text1"/>
        </w:rPr>
        <w:t>e ja tegevuste kohta</w:t>
      </w:r>
      <w:r w:rsidR="00FF725C">
        <w:rPr>
          <w:color w:val="000000" w:themeColor="text1"/>
        </w:rPr>
        <w:t xml:space="preserve"> ning teadmiste, kogemuste, v</w:t>
      </w:r>
      <w:r w:rsidR="000C2D17">
        <w:rPr>
          <w:color w:val="000000" w:themeColor="text1"/>
        </w:rPr>
        <w:t>ahendite vms panustamise kohta.</w:t>
      </w:r>
      <w:r w:rsidR="00FF725C">
        <w:rPr>
          <w:color w:val="000000" w:themeColor="text1"/>
        </w:rPr>
        <w:t xml:space="preserve"> </w:t>
      </w:r>
      <w:r w:rsidR="004427B8">
        <w:rPr>
          <w:color w:val="000000" w:themeColor="text1"/>
        </w:rPr>
        <w:t xml:space="preserve">Tegevuskava peab sisaldama ka infot </w:t>
      </w:r>
      <w:r w:rsidR="00820754">
        <w:rPr>
          <w:color w:val="000000" w:themeColor="text1"/>
        </w:rPr>
        <w:t>selle rakendamise perioodi</w:t>
      </w:r>
      <w:r w:rsidR="004427B8">
        <w:rPr>
          <w:color w:val="000000" w:themeColor="text1"/>
        </w:rPr>
        <w:t xml:space="preserve"> kohta</w:t>
      </w:r>
      <w:r w:rsidR="008E1B26">
        <w:rPr>
          <w:color w:val="000000" w:themeColor="text1"/>
        </w:rPr>
        <w:t xml:space="preserve">, tuues </w:t>
      </w:r>
      <w:r w:rsidR="00EA1B61">
        <w:rPr>
          <w:color w:val="000000" w:themeColor="text1"/>
        </w:rPr>
        <w:t xml:space="preserve">sealjuures </w:t>
      </w:r>
      <w:r w:rsidR="008E1B26">
        <w:rPr>
          <w:color w:val="000000" w:themeColor="text1"/>
        </w:rPr>
        <w:t>ära konkreetsed tegevuskavaga hõlmatud eelarveaastad.</w:t>
      </w:r>
      <w:r w:rsidR="00EB546D">
        <w:rPr>
          <w:color w:val="000000" w:themeColor="text1"/>
        </w:rPr>
        <w:t xml:space="preserve"> </w:t>
      </w:r>
    </w:p>
    <w:p w14:paraId="29D2944C" w14:textId="77777777" w:rsidR="007A0F62" w:rsidRDefault="007A0F62" w:rsidP="00576054">
      <w:pPr>
        <w:jc w:val="both"/>
        <w:rPr>
          <w:color w:val="000000" w:themeColor="text1"/>
        </w:rPr>
      </w:pPr>
    </w:p>
    <w:p w14:paraId="0A233513" w14:textId="2F1C2CB9" w:rsidR="000C341B" w:rsidRDefault="008E1B26" w:rsidP="00576054">
      <w:pPr>
        <w:jc w:val="both"/>
        <w:rPr>
          <w:color w:val="000000" w:themeColor="text1"/>
        </w:rPr>
      </w:pPr>
      <w:r>
        <w:rPr>
          <w:color w:val="000000" w:themeColor="text1"/>
        </w:rPr>
        <w:t>Tegevuskava põhi</w:t>
      </w:r>
      <w:r w:rsidR="009E0106">
        <w:rPr>
          <w:color w:val="000000" w:themeColor="text1"/>
        </w:rPr>
        <w:t>osa</w:t>
      </w:r>
      <w:r>
        <w:rPr>
          <w:color w:val="000000" w:themeColor="text1"/>
        </w:rPr>
        <w:t xml:space="preserve"> moodustab </w:t>
      </w:r>
      <w:r w:rsidRPr="00C208B2">
        <w:rPr>
          <w:color w:val="000000" w:themeColor="text1"/>
        </w:rPr>
        <w:t>strateegiakavas sätestatud mesindussektori</w:t>
      </w:r>
      <w:r w:rsidR="00346546">
        <w:rPr>
          <w:color w:val="000000" w:themeColor="text1"/>
        </w:rPr>
        <w:t>sse</w:t>
      </w:r>
      <w:r w:rsidRPr="00C208B2">
        <w:rPr>
          <w:color w:val="000000" w:themeColor="text1"/>
        </w:rPr>
        <w:t xml:space="preserve"> sekkumise eesmärgi saavutamiseks </w:t>
      </w:r>
      <w:r>
        <w:rPr>
          <w:color w:val="000000" w:themeColor="text1"/>
        </w:rPr>
        <w:t xml:space="preserve">kavandatavate tegevuste loetelu, mis </w:t>
      </w:r>
      <w:r w:rsidR="003662A3">
        <w:rPr>
          <w:color w:val="000000" w:themeColor="text1"/>
        </w:rPr>
        <w:t xml:space="preserve">tuleb esitada </w:t>
      </w:r>
      <w:r w:rsidR="00617F88">
        <w:rPr>
          <w:color w:val="000000" w:themeColor="text1"/>
        </w:rPr>
        <w:t xml:space="preserve">eristatuna </w:t>
      </w:r>
      <w:r w:rsidRPr="008E1B26">
        <w:rPr>
          <w:color w:val="000000" w:themeColor="text1"/>
        </w:rPr>
        <w:t xml:space="preserve">kõikide ÜPP strateegiakavas sisalduvate </w:t>
      </w:r>
      <w:r>
        <w:rPr>
          <w:color w:val="000000" w:themeColor="text1"/>
        </w:rPr>
        <w:t>mesindussektori</w:t>
      </w:r>
      <w:r w:rsidR="00346546">
        <w:rPr>
          <w:color w:val="000000" w:themeColor="text1"/>
        </w:rPr>
        <w:t>sse</w:t>
      </w:r>
      <w:r>
        <w:rPr>
          <w:color w:val="000000" w:themeColor="text1"/>
        </w:rPr>
        <w:t xml:space="preserve"> sekkumis</w:t>
      </w:r>
      <w:r w:rsidR="00346546">
        <w:rPr>
          <w:color w:val="000000" w:themeColor="text1"/>
        </w:rPr>
        <w:t xml:space="preserve">e </w:t>
      </w:r>
      <w:r>
        <w:rPr>
          <w:color w:val="000000" w:themeColor="text1"/>
        </w:rPr>
        <w:t>viiside</w:t>
      </w:r>
      <w:r w:rsidRPr="008E1B26">
        <w:rPr>
          <w:color w:val="000000" w:themeColor="text1"/>
        </w:rPr>
        <w:t xml:space="preserve"> ja tegevuskavaga hõlmatud eelarveaastate kaupa</w:t>
      </w:r>
      <w:r>
        <w:rPr>
          <w:color w:val="000000" w:themeColor="text1"/>
        </w:rPr>
        <w:t>.</w:t>
      </w:r>
      <w:r w:rsidR="009C3FC0">
        <w:rPr>
          <w:color w:val="000000" w:themeColor="text1"/>
        </w:rPr>
        <w:t xml:space="preserve"> Iga kavandatava tegevuse osas </w:t>
      </w:r>
      <w:r w:rsidR="00CD07E0">
        <w:rPr>
          <w:color w:val="000000" w:themeColor="text1"/>
        </w:rPr>
        <w:t>peab tegevuskava kajastama järgmisi elemente</w:t>
      </w:r>
      <w:r w:rsidR="00E03248">
        <w:rPr>
          <w:color w:val="000000" w:themeColor="text1"/>
        </w:rPr>
        <w:t>: tegevuse sisu ja mah</w:t>
      </w:r>
      <w:r w:rsidR="009C3FC0">
        <w:rPr>
          <w:color w:val="000000" w:themeColor="text1"/>
        </w:rPr>
        <w:t xml:space="preserve">u </w:t>
      </w:r>
      <w:r w:rsidR="007A0F62">
        <w:rPr>
          <w:color w:val="000000" w:themeColor="text1"/>
        </w:rPr>
        <w:t>kirjeldus</w:t>
      </w:r>
      <w:r w:rsidR="009C3FC0">
        <w:rPr>
          <w:color w:val="000000" w:themeColor="text1"/>
        </w:rPr>
        <w:t xml:space="preserve"> ning </w:t>
      </w:r>
      <w:r w:rsidR="00E03248">
        <w:rPr>
          <w:color w:val="000000" w:themeColor="text1"/>
        </w:rPr>
        <w:t xml:space="preserve">prognoositav </w:t>
      </w:r>
      <w:r w:rsidR="009C3FC0">
        <w:rPr>
          <w:color w:val="000000" w:themeColor="text1"/>
        </w:rPr>
        <w:t>kasusaajate (m</w:t>
      </w:r>
      <w:r w:rsidR="00E03248">
        <w:rPr>
          <w:color w:val="000000" w:themeColor="text1"/>
        </w:rPr>
        <w:t>esinikud ja nende mesilaspered) arv; tegevuse eelarve; tegevuse vajalikkuse põhjendus</w:t>
      </w:r>
      <w:r w:rsidR="00E03248" w:rsidRPr="00E03248">
        <w:t xml:space="preserve"> </w:t>
      </w:r>
      <w:r w:rsidR="00E03248" w:rsidRPr="00E03248">
        <w:rPr>
          <w:color w:val="000000" w:themeColor="text1"/>
        </w:rPr>
        <w:t>ning hinnang tegevuste oodatavatele tulemustele ja mõjule mesindussektori</w:t>
      </w:r>
      <w:r w:rsidR="00346546">
        <w:rPr>
          <w:color w:val="000000" w:themeColor="text1"/>
        </w:rPr>
        <w:t>sse</w:t>
      </w:r>
      <w:r w:rsidR="00E03248" w:rsidRPr="00E03248">
        <w:rPr>
          <w:color w:val="000000" w:themeColor="text1"/>
        </w:rPr>
        <w:t xml:space="preserve"> sekkumise eesmärgi saavutamise suhtes</w:t>
      </w:r>
      <w:r w:rsidR="00CF0A28">
        <w:rPr>
          <w:color w:val="000000" w:themeColor="text1"/>
        </w:rPr>
        <w:t xml:space="preserve"> ning §</w:t>
      </w:r>
      <w:r w:rsidR="00EA1B61" w:rsidRPr="00EA1B61">
        <w:rPr>
          <w:color w:val="000000" w:themeColor="text1"/>
        </w:rPr>
        <w:t xml:space="preserve"> 4 lõike 3 punkti</w:t>
      </w:r>
      <w:r w:rsidR="00EA1B61">
        <w:rPr>
          <w:color w:val="000000" w:themeColor="text1"/>
        </w:rPr>
        <w:t>s</w:t>
      </w:r>
      <w:r w:rsidR="00EA1B61" w:rsidRPr="00EA1B61">
        <w:rPr>
          <w:color w:val="000000" w:themeColor="text1"/>
        </w:rPr>
        <w:t xml:space="preserve"> 2 </w:t>
      </w:r>
      <w:r w:rsidR="00EA1B61">
        <w:rPr>
          <w:color w:val="000000" w:themeColor="text1"/>
        </w:rPr>
        <w:t xml:space="preserve">nimetatud </w:t>
      </w:r>
      <w:r w:rsidR="00EA1B61" w:rsidRPr="00EA1B61">
        <w:rPr>
          <w:color w:val="000000" w:themeColor="text1"/>
        </w:rPr>
        <w:t xml:space="preserve">sekkumisviisi </w:t>
      </w:r>
      <w:r w:rsidR="00EA1B61">
        <w:rPr>
          <w:color w:val="000000" w:themeColor="text1"/>
        </w:rPr>
        <w:t xml:space="preserve">– </w:t>
      </w:r>
      <w:r w:rsidR="00EA1B61" w:rsidRPr="00EA1B61">
        <w:rPr>
          <w:color w:val="000000" w:themeColor="text1"/>
        </w:rPr>
        <w:t>investeeringud materiaalsesse ja immateriaalsesse varasse nin</w:t>
      </w:r>
      <w:r w:rsidR="00A1016E">
        <w:rPr>
          <w:color w:val="000000" w:themeColor="text1"/>
        </w:rPr>
        <w:t>g muud tegevused</w:t>
      </w:r>
      <w:r w:rsidR="00EA1B61" w:rsidRPr="00EA1B61">
        <w:rPr>
          <w:color w:val="000000" w:themeColor="text1"/>
        </w:rPr>
        <w:t xml:space="preserve"> võitluseks kahjurite ja mesilaste haigustega, eriti varroatoosi tõrjeks</w:t>
      </w:r>
      <w:r w:rsidR="00A1016E">
        <w:rPr>
          <w:color w:val="000000" w:themeColor="text1"/>
        </w:rPr>
        <w:t xml:space="preserve"> – </w:t>
      </w:r>
      <w:r w:rsidR="00EA1B61">
        <w:rPr>
          <w:color w:val="000000" w:themeColor="text1"/>
        </w:rPr>
        <w:t xml:space="preserve"> </w:t>
      </w:r>
      <w:r w:rsidR="00CF0A28" w:rsidRPr="004A4EE5">
        <w:t xml:space="preserve">raames </w:t>
      </w:r>
      <w:r w:rsidR="00CF0A28" w:rsidRPr="004A4EE5">
        <w:rPr>
          <w:color w:val="000000" w:themeColor="text1"/>
        </w:rPr>
        <w:t>sihtrühma valiku kriteeriumid</w:t>
      </w:r>
      <w:r w:rsidR="00CF0A28">
        <w:rPr>
          <w:color w:val="000000" w:themeColor="text1"/>
        </w:rPr>
        <w:t>.</w:t>
      </w:r>
    </w:p>
    <w:p w14:paraId="3EA204A6" w14:textId="77777777" w:rsidR="000C341B" w:rsidRDefault="000C341B" w:rsidP="00576054">
      <w:pPr>
        <w:jc w:val="both"/>
        <w:rPr>
          <w:color w:val="000000" w:themeColor="text1"/>
        </w:rPr>
      </w:pPr>
    </w:p>
    <w:p w14:paraId="0BAFDA23" w14:textId="10913BF3" w:rsidR="00DD3B0B" w:rsidRDefault="007A0F62" w:rsidP="00DD3B0B">
      <w:pPr>
        <w:jc w:val="both"/>
        <w:rPr>
          <w:color w:val="000000" w:themeColor="text1"/>
        </w:rPr>
      </w:pPr>
      <w:r>
        <w:rPr>
          <w:color w:val="000000" w:themeColor="text1"/>
        </w:rPr>
        <w:t xml:space="preserve">Tegevuse sisu </w:t>
      </w:r>
      <w:r w:rsidR="00FB0BA3">
        <w:rPr>
          <w:color w:val="000000" w:themeColor="text1"/>
        </w:rPr>
        <w:t xml:space="preserve">ja mahu </w:t>
      </w:r>
      <w:r w:rsidR="005D52B8">
        <w:rPr>
          <w:color w:val="000000" w:themeColor="text1"/>
        </w:rPr>
        <w:t>kirjelduses</w:t>
      </w:r>
      <w:r w:rsidR="002726F6">
        <w:rPr>
          <w:color w:val="000000" w:themeColor="text1"/>
        </w:rPr>
        <w:t xml:space="preserve"> </w:t>
      </w:r>
      <w:r w:rsidR="002726F6" w:rsidRPr="00DC0868">
        <w:t xml:space="preserve">esitatakse </w:t>
      </w:r>
      <w:r w:rsidR="00D14D18" w:rsidRPr="00DC0868">
        <w:t>tegevuse täpne nimetus</w:t>
      </w:r>
      <w:r w:rsidR="002726F6" w:rsidRPr="00DC0868">
        <w:t xml:space="preserve">, </w:t>
      </w:r>
      <w:r w:rsidR="0050723E" w:rsidRPr="00DC0868">
        <w:t xml:space="preserve">tegevuse sisu lühiülevaade, </w:t>
      </w:r>
      <w:r w:rsidR="00925AA8" w:rsidRPr="00DC0868">
        <w:t xml:space="preserve">ülevaade tegevusega kaasnevatest kuludest, </w:t>
      </w:r>
      <w:r w:rsidR="0050723E" w:rsidRPr="00DC0868">
        <w:t>tegevuse maht as</w:t>
      </w:r>
      <w:r w:rsidR="00925AA8" w:rsidRPr="00DC0868">
        <w:t>jakohastes</w:t>
      </w:r>
      <w:r w:rsidR="0050723E" w:rsidRPr="00DC0868">
        <w:t xml:space="preserve"> ühik</w:t>
      </w:r>
      <w:r w:rsidR="00DC0868" w:rsidRPr="00DC0868">
        <w:t xml:space="preserve">utes (tükid, päevad, </w:t>
      </w:r>
      <w:r w:rsidR="00DC0868" w:rsidRPr="00DC0868">
        <w:lastRenderedPageBreak/>
        <w:t>töötunnid, sõidukilomeetrid</w:t>
      </w:r>
      <w:r w:rsidR="00925AA8" w:rsidRPr="00DC0868">
        <w:t>, trükiarv, jne</w:t>
      </w:r>
      <w:r w:rsidR="0050723E" w:rsidRPr="00DC0868">
        <w:t>)</w:t>
      </w:r>
      <w:r w:rsidR="00925AA8" w:rsidRPr="00DC0868">
        <w:t xml:space="preserve"> väljendatuna</w:t>
      </w:r>
      <w:r w:rsidR="006008F8">
        <w:t xml:space="preserve"> </w:t>
      </w:r>
      <w:r w:rsidR="00925AA8" w:rsidRPr="00DC0868">
        <w:t>ning</w:t>
      </w:r>
      <w:r w:rsidR="0050723E" w:rsidRPr="00DC0868">
        <w:t xml:space="preserve"> tegevuse rakendamise eeldatav ajakava</w:t>
      </w:r>
      <w:r w:rsidR="00925AA8" w:rsidRPr="00DC0868">
        <w:t>.</w:t>
      </w:r>
      <w:r w:rsidR="00DC0868" w:rsidRPr="00DC0868">
        <w:t xml:space="preserve"> </w:t>
      </w:r>
      <w:r w:rsidR="00DD3B0B" w:rsidRPr="00DC0868">
        <w:t>Kui tegem</w:t>
      </w:r>
      <w:r w:rsidR="00DD3B0B">
        <w:rPr>
          <w:color w:val="000000" w:themeColor="text1"/>
        </w:rPr>
        <w:t xml:space="preserve">ist on </w:t>
      </w:r>
      <w:r w:rsidR="00DD3B0B" w:rsidRPr="00552068">
        <w:rPr>
          <w:color w:val="000000" w:themeColor="text1"/>
        </w:rPr>
        <w:t xml:space="preserve">eelmistel EL eelarveperioodidel </w:t>
      </w:r>
      <w:r w:rsidR="00DD3B0B">
        <w:rPr>
          <w:color w:val="000000" w:themeColor="text1"/>
        </w:rPr>
        <w:t>rakendatud mesindusprogrammide raames tehtud tegevuse jätkutegevuse või edasiarendusega, siis tuuakse tegevuse sisu kirjelduses välja ka sidusus juba tehtud tegevusega.</w:t>
      </w:r>
    </w:p>
    <w:p w14:paraId="745035B9" w14:textId="77777777" w:rsidR="00DD3B0B" w:rsidRDefault="00DD3B0B" w:rsidP="00DD3B0B">
      <w:pPr>
        <w:rPr>
          <w:color w:val="000000" w:themeColor="text1"/>
        </w:rPr>
      </w:pPr>
    </w:p>
    <w:p w14:paraId="7FCE0479" w14:textId="6358B78D" w:rsidR="0059326C" w:rsidRDefault="00F77AFA" w:rsidP="0059326C">
      <w:pPr>
        <w:jc w:val="both"/>
        <w:rPr>
          <w:color w:val="000000" w:themeColor="text1"/>
        </w:rPr>
      </w:pPr>
      <w:r w:rsidRPr="0059326C">
        <w:rPr>
          <w:color w:val="000000" w:themeColor="text1"/>
        </w:rPr>
        <w:t xml:space="preserve">Tegevuse eelarve osas </w:t>
      </w:r>
      <w:r w:rsidR="0059326C" w:rsidRPr="0059326C">
        <w:rPr>
          <w:color w:val="000000" w:themeColor="text1"/>
        </w:rPr>
        <w:t xml:space="preserve">peab olema arusaadav, </w:t>
      </w:r>
      <w:r w:rsidR="0059326C" w:rsidRPr="0059326C">
        <w:t>milliste arvutuste ja hinnangute alusel on eelarve koostatud.</w:t>
      </w:r>
      <w:r w:rsidR="0059326C" w:rsidRPr="0059326C">
        <w:rPr>
          <w:color w:val="000000" w:themeColor="text1"/>
        </w:rPr>
        <w:t xml:space="preserve"> T</w:t>
      </w:r>
      <w:r w:rsidR="00740A7A" w:rsidRPr="0059326C">
        <w:rPr>
          <w:color w:val="000000" w:themeColor="text1"/>
        </w:rPr>
        <w:t xml:space="preserve">egevuse elluviimiseks kavandatavad kulud </w:t>
      </w:r>
      <w:r w:rsidR="0059326C" w:rsidRPr="0059326C">
        <w:rPr>
          <w:color w:val="000000" w:themeColor="text1"/>
        </w:rPr>
        <w:t xml:space="preserve">peavad </w:t>
      </w:r>
      <w:r w:rsidR="00740A7A" w:rsidRPr="0059326C">
        <w:rPr>
          <w:color w:val="000000" w:themeColor="text1"/>
        </w:rPr>
        <w:t xml:space="preserve">olema vajalikud ja mõistlikud ning </w:t>
      </w:r>
      <w:r w:rsidR="0059326C" w:rsidRPr="0059326C">
        <w:rPr>
          <w:color w:val="000000" w:themeColor="text1"/>
        </w:rPr>
        <w:t>nende väärtus ei või ületada asjakohasel turul sama liiki töö, teenuse või toote puhul üldiselt aktsepteeritud</w:t>
      </w:r>
      <w:r w:rsidR="0059326C">
        <w:rPr>
          <w:color w:val="000000" w:themeColor="text1"/>
        </w:rPr>
        <w:t xml:space="preserve"> kulude väärtust. </w:t>
      </w:r>
      <w:r w:rsidR="00AB4926">
        <w:rPr>
          <w:color w:val="000000" w:themeColor="text1"/>
        </w:rPr>
        <w:t xml:space="preserve">Nende tegevuste, millega kaasnevate kulude hüvitamine toimub kas osaliselt või tervikuna </w:t>
      </w:r>
      <w:r w:rsidR="00AB4926">
        <w:t>määruses sätestatud lih</w:t>
      </w:r>
      <w:r w:rsidR="0023740B">
        <w:t>tsustatud kulumeetodina</w:t>
      </w:r>
      <w:r w:rsidR="00E85BD6">
        <w:t xml:space="preserve"> ühikuhinna </w:t>
      </w:r>
      <w:r w:rsidR="00D92EE9">
        <w:t>(</w:t>
      </w:r>
      <w:r w:rsidR="00E85BD6">
        <w:t xml:space="preserve">näiteks </w:t>
      </w:r>
      <w:r w:rsidR="00D92EE9">
        <w:rPr>
          <w:color w:val="000000" w:themeColor="text1"/>
        </w:rPr>
        <w:t>t</w:t>
      </w:r>
      <w:r w:rsidR="00D92EE9" w:rsidRPr="00953029">
        <w:rPr>
          <w:color w:val="000000" w:themeColor="text1"/>
        </w:rPr>
        <w:t xml:space="preserve">eabe- ja õppepäeva ning kursuse </w:t>
      </w:r>
      <w:r w:rsidR="00D92EE9">
        <w:rPr>
          <w:color w:val="000000" w:themeColor="text1"/>
        </w:rPr>
        <w:t xml:space="preserve">puhul </w:t>
      </w:r>
      <w:r w:rsidR="00D92EE9" w:rsidRPr="00953029">
        <w:rPr>
          <w:color w:val="000000" w:themeColor="text1"/>
        </w:rPr>
        <w:t xml:space="preserve">lektori </w:t>
      </w:r>
      <w:r w:rsidR="00D92EE9">
        <w:rPr>
          <w:color w:val="000000" w:themeColor="text1"/>
        </w:rPr>
        <w:t xml:space="preserve">tasu suurus </w:t>
      </w:r>
      <w:r w:rsidR="00D92EE9" w:rsidRPr="00953029">
        <w:rPr>
          <w:color w:val="000000" w:themeColor="text1"/>
        </w:rPr>
        <w:t>loengu</w:t>
      </w:r>
      <w:r w:rsidR="00D92EE9">
        <w:rPr>
          <w:color w:val="000000" w:themeColor="text1"/>
        </w:rPr>
        <w:t xml:space="preserve"> ühe akadeemilise </w:t>
      </w:r>
      <w:r w:rsidR="00D92EE9" w:rsidRPr="00953029">
        <w:rPr>
          <w:color w:val="000000" w:themeColor="text1"/>
        </w:rPr>
        <w:t>tunni</w:t>
      </w:r>
      <w:r w:rsidR="00D92EE9">
        <w:rPr>
          <w:color w:val="000000" w:themeColor="text1"/>
        </w:rPr>
        <w:t xml:space="preserve"> kohta</w:t>
      </w:r>
      <w:r w:rsidR="00D92EE9">
        <w:t>)</w:t>
      </w:r>
      <w:r w:rsidR="00E85BD6">
        <w:t xml:space="preserve"> alusel</w:t>
      </w:r>
      <w:r w:rsidR="00AB4926">
        <w:t xml:space="preserve">, </w:t>
      </w:r>
      <w:r w:rsidR="00D92EE9">
        <w:rPr>
          <w:color w:val="000000" w:themeColor="text1"/>
        </w:rPr>
        <w:t>eelarved koostata</w:t>
      </w:r>
      <w:r w:rsidR="0023740B">
        <w:rPr>
          <w:color w:val="000000" w:themeColor="text1"/>
        </w:rPr>
        <w:t xml:space="preserve">kse vastavaid </w:t>
      </w:r>
      <w:r w:rsidR="00D92EE9">
        <w:rPr>
          <w:color w:val="000000" w:themeColor="text1"/>
        </w:rPr>
        <w:t>ühikuhindasid arvesse võttes.</w:t>
      </w:r>
      <w:r w:rsidR="00AB4926">
        <w:rPr>
          <w:color w:val="000000" w:themeColor="text1"/>
        </w:rPr>
        <w:t xml:space="preserve"> </w:t>
      </w:r>
      <w:r w:rsidR="0059326C">
        <w:rPr>
          <w:color w:val="000000" w:themeColor="text1"/>
        </w:rPr>
        <w:t>Eelarvete osas tuleb tegevuskavas lisaks iga konkreetse tegevuse eelarvele tuua välja eelarvete koondid eraldi iga ÜPP strateegiakavas sisalduva</w:t>
      </w:r>
      <w:r w:rsidR="0059326C" w:rsidRPr="007818AE">
        <w:rPr>
          <w:color w:val="000000" w:themeColor="text1"/>
        </w:rPr>
        <w:t xml:space="preserve"> mesindussektori</w:t>
      </w:r>
      <w:r w:rsidR="00346546">
        <w:rPr>
          <w:color w:val="000000" w:themeColor="text1"/>
        </w:rPr>
        <w:t>sse</w:t>
      </w:r>
      <w:r w:rsidR="0059326C" w:rsidRPr="007818AE">
        <w:rPr>
          <w:color w:val="000000" w:themeColor="text1"/>
        </w:rPr>
        <w:t xml:space="preserve"> sek</w:t>
      </w:r>
      <w:r w:rsidR="0059326C">
        <w:rPr>
          <w:color w:val="000000" w:themeColor="text1"/>
        </w:rPr>
        <w:t>kumis</w:t>
      </w:r>
      <w:r w:rsidR="00346546">
        <w:rPr>
          <w:color w:val="000000" w:themeColor="text1"/>
        </w:rPr>
        <w:t xml:space="preserve">e </w:t>
      </w:r>
      <w:r w:rsidR="0059326C">
        <w:rPr>
          <w:color w:val="000000" w:themeColor="text1"/>
        </w:rPr>
        <w:t>viisi</w:t>
      </w:r>
      <w:r w:rsidR="0059326C" w:rsidRPr="007818AE">
        <w:rPr>
          <w:color w:val="000000" w:themeColor="text1"/>
        </w:rPr>
        <w:t xml:space="preserve"> ja tegev</w:t>
      </w:r>
      <w:r w:rsidR="0059326C">
        <w:rPr>
          <w:color w:val="000000" w:themeColor="text1"/>
        </w:rPr>
        <w:t>uskavaga hõlmatud eelarveaasta</w:t>
      </w:r>
      <w:r w:rsidR="0059326C" w:rsidRPr="007818AE">
        <w:rPr>
          <w:color w:val="000000" w:themeColor="text1"/>
        </w:rPr>
        <w:t xml:space="preserve"> kaupa.</w:t>
      </w:r>
      <w:r w:rsidR="0059326C">
        <w:rPr>
          <w:color w:val="000000" w:themeColor="text1"/>
        </w:rPr>
        <w:t xml:space="preserve"> Sekkumisviisi piires kavandatavate tegevuste kogueelarve eelarveaasta kohta ei tohi ületada </w:t>
      </w:r>
      <w:r w:rsidR="0059326C" w:rsidRPr="006E7485">
        <w:rPr>
          <w:color w:val="000000" w:themeColor="text1"/>
        </w:rPr>
        <w:t xml:space="preserve">ELÜPS § 11 lõike 3 alusel maaeluministri käskkirjaga </w:t>
      </w:r>
      <w:r w:rsidR="0059326C">
        <w:rPr>
          <w:color w:val="000000" w:themeColor="text1"/>
        </w:rPr>
        <w:t>selle sekkumisviisi osas eelarveaasta kohta</w:t>
      </w:r>
      <w:r w:rsidR="0059326C" w:rsidRPr="006E7485">
        <w:rPr>
          <w:color w:val="000000" w:themeColor="text1"/>
        </w:rPr>
        <w:t xml:space="preserve"> sätestatud toetuse raha</w:t>
      </w:r>
      <w:r w:rsidR="0059326C">
        <w:rPr>
          <w:color w:val="000000" w:themeColor="text1"/>
        </w:rPr>
        <w:t>liste vahendite summat ning kõikide sekkumisviiside raames kavandatavate kõikide tegevuste kogueelarve</w:t>
      </w:r>
      <w:r w:rsidR="0059326C" w:rsidRPr="001B636A">
        <w:rPr>
          <w:color w:val="000000" w:themeColor="text1"/>
        </w:rPr>
        <w:t xml:space="preserve"> </w:t>
      </w:r>
      <w:r w:rsidR="0059326C">
        <w:rPr>
          <w:color w:val="000000" w:themeColor="text1"/>
        </w:rPr>
        <w:t xml:space="preserve">ühel eelarveaastal ei tohi ületada </w:t>
      </w:r>
      <w:r w:rsidR="0059326C" w:rsidRPr="00DF208A">
        <w:rPr>
          <w:color w:val="000000" w:themeColor="text1"/>
        </w:rPr>
        <w:t xml:space="preserve">ÜPP strateegiakavade määruse X lisas Eestile eelarveaasta kohta ette nähtud rahaeraldise </w:t>
      </w:r>
      <w:r w:rsidR="0059326C">
        <w:rPr>
          <w:color w:val="000000" w:themeColor="text1"/>
        </w:rPr>
        <w:t>ja sellele Eesti riigieelarve vahenditest</w:t>
      </w:r>
      <w:r w:rsidR="0059326C" w:rsidRPr="00AA535A">
        <w:rPr>
          <w:color w:val="000000" w:themeColor="text1"/>
        </w:rPr>
        <w:t xml:space="preserve"> EL-i rahaeraldisega samas suuruses</w:t>
      </w:r>
      <w:r w:rsidR="0059326C">
        <w:rPr>
          <w:color w:val="000000" w:themeColor="text1"/>
        </w:rPr>
        <w:t xml:space="preserve"> lisanduva rahaeraldise summat.</w:t>
      </w:r>
    </w:p>
    <w:p w14:paraId="2F0DE2C0" w14:textId="3D7A2A3B" w:rsidR="00AB4926" w:rsidRDefault="00AB4926" w:rsidP="00AB4926">
      <w:pPr>
        <w:jc w:val="both"/>
        <w:rPr>
          <w:color w:val="000000" w:themeColor="text1"/>
        </w:rPr>
      </w:pPr>
    </w:p>
    <w:p w14:paraId="31FB92BD" w14:textId="12ED1CA0" w:rsidR="00F77AFA" w:rsidRDefault="00DC0868" w:rsidP="00576054">
      <w:pPr>
        <w:jc w:val="both"/>
        <w:rPr>
          <w:color w:val="000000" w:themeColor="text1"/>
        </w:rPr>
      </w:pPr>
      <w:r w:rsidRPr="00DC0868">
        <w:rPr>
          <w:color w:val="000000" w:themeColor="text1"/>
        </w:rPr>
        <w:t>Tegevuse vajalikkuse põhjenduse osa</w:t>
      </w:r>
      <w:r w:rsidR="0068424D">
        <w:rPr>
          <w:color w:val="000000" w:themeColor="text1"/>
        </w:rPr>
        <w:t>s tuleb selgitad</w:t>
      </w:r>
      <w:r w:rsidRPr="00DC0868">
        <w:rPr>
          <w:color w:val="000000" w:themeColor="text1"/>
        </w:rPr>
        <w:t>a</w:t>
      </w:r>
      <w:r w:rsidR="002B4D74">
        <w:rPr>
          <w:color w:val="000000" w:themeColor="text1"/>
        </w:rPr>
        <w:t xml:space="preserve">, milles seisneb </w:t>
      </w:r>
      <w:r w:rsidR="00254951">
        <w:rPr>
          <w:color w:val="000000" w:themeColor="text1"/>
        </w:rPr>
        <w:t>antud tegevuse vajalikkus ja kuidas see aitab kaasa mesindussektori</w:t>
      </w:r>
      <w:r w:rsidR="00346546">
        <w:rPr>
          <w:color w:val="000000" w:themeColor="text1"/>
        </w:rPr>
        <w:t>sse sekkumise</w:t>
      </w:r>
      <w:r w:rsidR="00254951">
        <w:rPr>
          <w:color w:val="000000" w:themeColor="text1"/>
        </w:rPr>
        <w:t xml:space="preserve"> eesmärgi saavutamisele.</w:t>
      </w:r>
      <w:r w:rsidRPr="00DC0868">
        <w:rPr>
          <w:color w:val="000000" w:themeColor="text1"/>
        </w:rPr>
        <w:t xml:space="preserve"> </w:t>
      </w:r>
      <w:r w:rsidR="00254951">
        <w:rPr>
          <w:color w:val="000000" w:themeColor="text1"/>
        </w:rPr>
        <w:t>Esitada tuleb eeldatav tegevusest kasusaajate mesinike ja nende mesilasperede arv</w:t>
      </w:r>
      <w:r w:rsidR="00710D49">
        <w:rPr>
          <w:color w:val="000000" w:themeColor="text1"/>
        </w:rPr>
        <w:t>. Samuti tuleb anda hinnang tegevuse oodatavate tulemuste kohta ja mõju kohta mesindussektori</w:t>
      </w:r>
      <w:r w:rsidR="00346546">
        <w:rPr>
          <w:color w:val="000000" w:themeColor="text1"/>
        </w:rPr>
        <w:t>sse</w:t>
      </w:r>
      <w:r w:rsidR="00710D49">
        <w:rPr>
          <w:color w:val="000000" w:themeColor="text1"/>
        </w:rPr>
        <w:t xml:space="preserve"> s</w:t>
      </w:r>
      <w:r w:rsidR="00254951">
        <w:rPr>
          <w:color w:val="000000" w:themeColor="text1"/>
        </w:rPr>
        <w:t>ekkumise eesmärgi saavutamisele</w:t>
      </w:r>
      <w:r w:rsidR="007041BA">
        <w:rPr>
          <w:color w:val="000000" w:themeColor="text1"/>
        </w:rPr>
        <w:t xml:space="preserve"> </w:t>
      </w:r>
      <w:r w:rsidR="007041BA" w:rsidRPr="004C01F4">
        <w:rPr>
          <w:color w:val="000000" w:themeColor="text1"/>
        </w:rPr>
        <w:t xml:space="preserve">ning </w:t>
      </w:r>
      <w:r w:rsidR="00A1016E" w:rsidRPr="004C01F4">
        <w:rPr>
          <w:color w:val="000000" w:themeColor="text1"/>
        </w:rPr>
        <w:t>tuua eraldi välja,</w:t>
      </w:r>
      <w:r w:rsidR="00A1016E" w:rsidRPr="004C01F4">
        <w:t xml:space="preserve"> </w:t>
      </w:r>
      <w:r w:rsidR="00A1016E" w:rsidRPr="004C01F4">
        <w:rPr>
          <w:color w:val="000000" w:themeColor="text1"/>
        </w:rPr>
        <w:t>milliste kriteeriumite alusel mesinduskogu ostetavaid varroatoosi ja mu</w:t>
      </w:r>
      <w:r w:rsidR="009A68C6">
        <w:rPr>
          <w:color w:val="000000" w:themeColor="text1"/>
        </w:rPr>
        <w:t>ude mesilashaiguste seir</w:t>
      </w:r>
      <w:r w:rsidR="00A1016E" w:rsidRPr="004C01F4">
        <w:rPr>
          <w:color w:val="000000" w:themeColor="text1"/>
        </w:rPr>
        <w:t>e, ennetamise ja tõrje ning kahjurite tõrje vahendeid, mille ostukulu kompenseerimist mesinduskogu taotleb, mesinikele jaotatakse</w:t>
      </w:r>
      <w:r w:rsidR="00710D49" w:rsidRPr="004C01F4">
        <w:rPr>
          <w:color w:val="000000" w:themeColor="text1"/>
        </w:rPr>
        <w:t>.</w:t>
      </w:r>
      <w:r w:rsidR="00710D49">
        <w:rPr>
          <w:color w:val="000000" w:themeColor="text1"/>
        </w:rPr>
        <w:t xml:space="preserve"> </w:t>
      </w:r>
      <w:r w:rsidR="00CD6EBA">
        <w:rPr>
          <w:color w:val="000000" w:themeColor="text1"/>
        </w:rPr>
        <w:t xml:space="preserve"> </w:t>
      </w:r>
      <w:r>
        <w:rPr>
          <w:color w:val="000000" w:themeColor="text1"/>
        </w:rPr>
        <w:t xml:space="preserve"> </w:t>
      </w:r>
    </w:p>
    <w:p w14:paraId="1B391BD4" w14:textId="77777777" w:rsidR="007A0F62" w:rsidRPr="00F029EC" w:rsidRDefault="007A0F62" w:rsidP="00576054">
      <w:pPr>
        <w:jc w:val="both"/>
        <w:rPr>
          <w:i/>
          <w:color w:val="000000" w:themeColor="text1"/>
        </w:rPr>
      </w:pPr>
    </w:p>
    <w:p w14:paraId="663FC3FD" w14:textId="468FC735" w:rsidR="00A4059A" w:rsidRDefault="00986C33" w:rsidP="00C94DCF">
      <w:pPr>
        <w:jc w:val="both"/>
        <w:rPr>
          <w:color w:val="000000" w:themeColor="text1"/>
        </w:rPr>
      </w:pPr>
      <w:r>
        <w:rPr>
          <w:color w:val="000000" w:themeColor="text1"/>
        </w:rPr>
        <w:t>Tegevuskavas kavandatavate tegevuste üksikasjaliku käsitlemise järel</w:t>
      </w:r>
      <w:r w:rsidR="00C94DCF">
        <w:rPr>
          <w:color w:val="000000" w:themeColor="text1"/>
        </w:rPr>
        <w:t xml:space="preserve"> esitatakse</w:t>
      </w:r>
      <w:r>
        <w:rPr>
          <w:color w:val="000000" w:themeColor="text1"/>
        </w:rPr>
        <w:t xml:space="preserve"> tegevuskava eraldi struktuuriosas</w:t>
      </w:r>
      <w:r w:rsidR="00631484">
        <w:rPr>
          <w:color w:val="000000" w:themeColor="text1"/>
        </w:rPr>
        <w:t xml:space="preserve"> ülevaade huvide konflikti ennetamiseks, tuvastamiseks ja kõrvaldamiseks võetavatest meetmetest nende tegevuste elluviimisel. </w:t>
      </w:r>
      <w:r w:rsidR="00D73318">
        <w:rPr>
          <w:color w:val="000000" w:themeColor="text1"/>
        </w:rPr>
        <w:t>Ülevaade peab hõlmama kõiki sekkumisviise ja tegevusi</w:t>
      </w:r>
      <w:r w:rsidR="00631484" w:rsidRPr="00631484">
        <w:rPr>
          <w:color w:val="000000" w:themeColor="text1"/>
        </w:rPr>
        <w:t>, k</w:t>
      </w:r>
      <w:r w:rsidR="00D73318">
        <w:rPr>
          <w:color w:val="000000" w:themeColor="text1"/>
        </w:rPr>
        <w:t xml:space="preserve">us </w:t>
      </w:r>
      <w:r w:rsidR="00772499">
        <w:rPr>
          <w:color w:val="000000" w:themeColor="text1"/>
        </w:rPr>
        <w:t>sellis</w:t>
      </w:r>
      <w:r w:rsidR="00631484" w:rsidRPr="00631484">
        <w:rPr>
          <w:color w:val="000000" w:themeColor="text1"/>
        </w:rPr>
        <w:t>e konflikt</w:t>
      </w:r>
      <w:r w:rsidR="00772499">
        <w:rPr>
          <w:color w:val="000000" w:themeColor="text1"/>
        </w:rPr>
        <w:t>i</w:t>
      </w:r>
      <w:r w:rsidR="00631484" w:rsidRPr="00631484">
        <w:rPr>
          <w:color w:val="000000" w:themeColor="text1"/>
        </w:rPr>
        <w:t xml:space="preserve"> </w:t>
      </w:r>
      <w:r w:rsidR="00772499">
        <w:rPr>
          <w:color w:val="000000" w:themeColor="text1"/>
        </w:rPr>
        <w:t>tekkimise tõenäosus on suurem</w:t>
      </w:r>
      <w:r w:rsidR="00D73318">
        <w:rPr>
          <w:color w:val="000000" w:themeColor="text1"/>
        </w:rPr>
        <w:t>. Eelkõige puudutab see tegevusi, mille elluviimine eeldab mesinduskogu poolt</w:t>
      </w:r>
      <w:r w:rsidR="00631484" w:rsidRPr="00631484">
        <w:rPr>
          <w:color w:val="000000" w:themeColor="text1"/>
        </w:rPr>
        <w:t xml:space="preserve"> isikute hulgast mingi valik</w:t>
      </w:r>
      <w:r w:rsidR="00D73318">
        <w:rPr>
          <w:color w:val="000000" w:themeColor="text1"/>
        </w:rPr>
        <w:t xml:space="preserve">u tegemist ning valitav isik saab </w:t>
      </w:r>
      <w:r w:rsidR="00D73318" w:rsidRPr="00631484">
        <w:rPr>
          <w:color w:val="000000" w:themeColor="text1"/>
        </w:rPr>
        <w:t xml:space="preserve">teiste </w:t>
      </w:r>
      <w:r w:rsidR="00D73318">
        <w:rPr>
          <w:color w:val="000000" w:themeColor="text1"/>
        </w:rPr>
        <w:t xml:space="preserve">isikute </w:t>
      </w:r>
      <w:r w:rsidR="00D73318" w:rsidRPr="00631484">
        <w:rPr>
          <w:color w:val="000000" w:themeColor="text1"/>
        </w:rPr>
        <w:t xml:space="preserve">ees </w:t>
      </w:r>
      <w:r w:rsidR="00D73318">
        <w:rPr>
          <w:color w:val="000000" w:themeColor="text1"/>
        </w:rPr>
        <w:t>mingi</w:t>
      </w:r>
      <w:r w:rsidR="00631484" w:rsidRPr="00631484">
        <w:rPr>
          <w:color w:val="000000" w:themeColor="text1"/>
        </w:rPr>
        <w:t xml:space="preserve"> eelise</w:t>
      </w:r>
      <w:r w:rsidR="00772499">
        <w:rPr>
          <w:color w:val="000000" w:themeColor="text1"/>
        </w:rPr>
        <w:t xml:space="preserve">, nagu näiteks </w:t>
      </w:r>
      <w:r w:rsidR="00631484" w:rsidRPr="00631484">
        <w:rPr>
          <w:color w:val="000000" w:themeColor="text1"/>
        </w:rPr>
        <w:t xml:space="preserve">usaldusmesinike </w:t>
      </w:r>
      <w:r w:rsidR="00772499">
        <w:rPr>
          <w:color w:val="000000" w:themeColor="text1"/>
        </w:rPr>
        <w:t>valimine või kasusaajatest mesinike valimine</w:t>
      </w:r>
      <w:r w:rsidR="00631484" w:rsidRPr="00631484">
        <w:rPr>
          <w:color w:val="000000" w:themeColor="text1"/>
        </w:rPr>
        <w:t xml:space="preserve"> mesilashaiguste tõrje vahendite andmisel.</w:t>
      </w:r>
      <w:r w:rsidR="00631484">
        <w:rPr>
          <w:color w:val="000000" w:themeColor="text1"/>
        </w:rPr>
        <w:t xml:space="preserve"> </w:t>
      </w:r>
      <w:r w:rsidR="00B14BCF" w:rsidRPr="00B14BCF">
        <w:rPr>
          <w:color w:val="000000" w:themeColor="text1"/>
        </w:rPr>
        <w:t>Üheks kohaldatavaks meetmeks huvide konflikti ennetamiseks on otsuste ja tehingute tegemisest taandamine korruptsiooni vastase seaduse § 7 nimetatud seotud isikute puhul.</w:t>
      </w:r>
      <w:r w:rsidR="00B14BCF">
        <w:rPr>
          <w:color w:val="000000" w:themeColor="text1"/>
        </w:rPr>
        <w:t xml:space="preserve"> </w:t>
      </w:r>
      <w:r w:rsidR="00772499">
        <w:rPr>
          <w:color w:val="000000" w:themeColor="text1"/>
        </w:rPr>
        <w:t xml:space="preserve">Peale selle esitatakse </w:t>
      </w:r>
      <w:r w:rsidR="00C94DCF">
        <w:rPr>
          <w:color w:val="000000" w:themeColor="text1"/>
        </w:rPr>
        <w:t>kokkuvõtvalt teave tegevuste tulemuste levitamise korralduse kohta.</w:t>
      </w:r>
      <w:r>
        <w:rPr>
          <w:color w:val="000000" w:themeColor="text1"/>
        </w:rPr>
        <w:t xml:space="preserve"> </w:t>
      </w:r>
      <w:r w:rsidR="00C94DCF">
        <w:rPr>
          <w:color w:val="000000" w:themeColor="text1"/>
        </w:rPr>
        <w:t xml:space="preserve">Selleks kirjeldatakse </w:t>
      </w:r>
      <w:r w:rsidR="00D41AA1">
        <w:rPr>
          <w:color w:val="000000" w:themeColor="text1"/>
        </w:rPr>
        <w:t xml:space="preserve">tegevuskava rakendamise </w:t>
      </w:r>
      <w:r w:rsidR="00D125E5">
        <w:rPr>
          <w:color w:val="000000" w:themeColor="text1"/>
        </w:rPr>
        <w:t>ja tulemuste kohta informatsiooni edastamise</w:t>
      </w:r>
      <w:r w:rsidR="00D41AA1">
        <w:rPr>
          <w:color w:val="000000" w:themeColor="text1"/>
        </w:rPr>
        <w:t xml:space="preserve"> põhimõtteid</w:t>
      </w:r>
      <w:r w:rsidR="008B7A0F">
        <w:rPr>
          <w:color w:val="000000" w:themeColor="text1"/>
        </w:rPr>
        <w:t xml:space="preserve"> ja eesmärke</w:t>
      </w:r>
      <w:r w:rsidR="0071630E">
        <w:rPr>
          <w:color w:val="000000" w:themeColor="text1"/>
        </w:rPr>
        <w:t xml:space="preserve"> (nt kas ja milliseid muid info edastamise meetodeid </w:t>
      </w:r>
      <w:r w:rsidR="008B7A0F">
        <w:rPr>
          <w:color w:val="000000" w:themeColor="text1"/>
        </w:rPr>
        <w:t xml:space="preserve">või vahendeid </w:t>
      </w:r>
      <w:r w:rsidR="0071630E">
        <w:rPr>
          <w:color w:val="000000" w:themeColor="text1"/>
        </w:rPr>
        <w:t>peale veebilehe</w:t>
      </w:r>
      <w:r w:rsidR="00951BBD">
        <w:rPr>
          <w:color w:val="000000" w:themeColor="text1"/>
        </w:rPr>
        <w:t xml:space="preserve"> ja teabesalvele edastamise</w:t>
      </w:r>
      <w:r w:rsidR="0071630E">
        <w:rPr>
          <w:color w:val="000000" w:themeColor="text1"/>
        </w:rPr>
        <w:t xml:space="preserve"> on kavandatud</w:t>
      </w:r>
      <w:r w:rsidR="008B7A0F">
        <w:rPr>
          <w:color w:val="000000" w:themeColor="text1"/>
        </w:rPr>
        <w:t xml:space="preserve">, milliseid abinõusid nähakse ette informatsiooni jõudmiseks </w:t>
      </w:r>
      <w:r w:rsidR="00D125E5">
        <w:rPr>
          <w:color w:val="000000" w:themeColor="text1"/>
        </w:rPr>
        <w:t>võimalikult paljude mesinikeni</w:t>
      </w:r>
      <w:r w:rsidR="008F46A7">
        <w:rPr>
          <w:color w:val="000000" w:themeColor="text1"/>
        </w:rPr>
        <w:t xml:space="preserve"> ning teiste</w:t>
      </w:r>
      <w:r w:rsidR="00D125E5">
        <w:rPr>
          <w:color w:val="000000" w:themeColor="text1"/>
        </w:rPr>
        <w:t xml:space="preserve"> asjast huvitatud isikuteni</w:t>
      </w:r>
      <w:r w:rsidR="008B7A0F">
        <w:rPr>
          <w:color w:val="000000" w:themeColor="text1"/>
        </w:rPr>
        <w:t>, jne</w:t>
      </w:r>
      <w:r w:rsidR="0071630E">
        <w:rPr>
          <w:color w:val="000000" w:themeColor="text1"/>
        </w:rPr>
        <w:t>)</w:t>
      </w:r>
      <w:r w:rsidR="008B7A0F">
        <w:rPr>
          <w:color w:val="000000" w:themeColor="text1"/>
        </w:rPr>
        <w:t xml:space="preserve">. </w:t>
      </w:r>
      <w:r w:rsidR="00AC1210">
        <w:rPr>
          <w:color w:val="000000" w:themeColor="text1"/>
        </w:rPr>
        <w:t xml:space="preserve">Samuti esitatakse teave </w:t>
      </w:r>
      <w:r w:rsidR="00AC1210" w:rsidRPr="00AC1210">
        <w:rPr>
          <w:color w:val="000000" w:themeColor="text1"/>
        </w:rPr>
        <w:t>muudest riigieelarvelistest, Euroopa Liidu või välisabi vahenditest taotletava toetuse kohta.</w:t>
      </w:r>
    </w:p>
    <w:p w14:paraId="14DA1A24" w14:textId="0E29A169" w:rsidR="002C2889" w:rsidRDefault="002C2889" w:rsidP="00C94DCF">
      <w:pPr>
        <w:jc w:val="both"/>
        <w:rPr>
          <w:color w:val="000000" w:themeColor="text1"/>
        </w:rPr>
      </w:pPr>
    </w:p>
    <w:p w14:paraId="6E21F3D0" w14:textId="5F97FA48" w:rsidR="002C2889" w:rsidRDefault="002C2889" w:rsidP="00C94DCF">
      <w:pPr>
        <w:jc w:val="both"/>
        <w:rPr>
          <w:color w:val="000000" w:themeColor="text1"/>
        </w:rPr>
      </w:pPr>
      <w:r>
        <w:t>Lõike 5 kohaselt võetakse tegevuskava mesinduskogu poolt vastu üldkoosolekuga või seltsinglaste otsusega.</w:t>
      </w:r>
    </w:p>
    <w:p w14:paraId="374EADB5" w14:textId="77777777" w:rsidR="00091B48" w:rsidRDefault="00091B48" w:rsidP="00203811">
      <w:pPr>
        <w:jc w:val="both"/>
      </w:pPr>
    </w:p>
    <w:p w14:paraId="606AC8B3" w14:textId="769308F8" w:rsidR="00091B48" w:rsidRDefault="00CA135A" w:rsidP="00203811">
      <w:pPr>
        <w:jc w:val="both"/>
      </w:pPr>
      <w:r w:rsidRPr="00CA135A">
        <w:rPr>
          <w:b/>
        </w:rPr>
        <w:t xml:space="preserve">Eelnõu §-ga </w:t>
      </w:r>
      <w:r w:rsidR="00D97465">
        <w:rPr>
          <w:b/>
        </w:rPr>
        <w:t>5</w:t>
      </w:r>
      <w:r>
        <w:t xml:space="preserve"> sätestatakse</w:t>
      </w:r>
      <w:r w:rsidR="00D108A9" w:rsidRPr="00D108A9">
        <w:t xml:space="preserve"> </w:t>
      </w:r>
      <w:r w:rsidR="00D108A9">
        <w:t>n</w:t>
      </w:r>
      <w:r w:rsidR="00D108A9" w:rsidRPr="00D108A9">
        <w:t>õuded tegevuskavas esitatud tegevuste kohta</w:t>
      </w:r>
      <w:r w:rsidR="00D108A9">
        <w:t>.</w:t>
      </w:r>
    </w:p>
    <w:p w14:paraId="7BA273F5" w14:textId="77777777" w:rsidR="00D108A9" w:rsidRDefault="00D108A9" w:rsidP="00203811">
      <w:pPr>
        <w:jc w:val="both"/>
      </w:pPr>
    </w:p>
    <w:p w14:paraId="6A663EFF" w14:textId="7DD8A000" w:rsidR="00772499" w:rsidRDefault="00526BE3" w:rsidP="00203811">
      <w:pPr>
        <w:jc w:val="both"/>
      </w:pPr>
      <w:r>
        <w:t xml:space="preserve">Lõikes 1 </w:t>
      </w:r>
      <w:r w:rsidR="00772499">
        <w:t xml:space="preserve">sätestatakse nõuded määruse </w:t>
      </w:r>
      <w:r w:rsidR="00772499">
        <w:rPr>
          <w:color w:val="000000" w:themeColor="text1"/>
        </w:rPr>
        <w:t>§</w:t>
      </w:r>
      <w:r w:rsidR="00772499" w:rsidRPr="00EA1B61">
        <w:rPr>
          <w:color w:val="000000" w:themeColor="text1"/>
        </w:rPr>
        <w:t xml:space="preserve"> 4 lõike 3 punkti</w:t>
      </w:r>
      <w:r w:rsidR="00772499">
        <w:rPr>
          <w:color w:val="000000" w:themeColor="text1"/>
        </w:rPr>
        <w:t>s 1</w:t>
      </w:r>
      <w:r w:rsidR="00772499" w:rsidRPr="00EA1B61">
        <w:rPr>
          <w:color w:val="000000" w:themeColor="text1"/>
        </w:rPr>
        <w:t xml:space="preserve"> </w:t>
      </w:r>
      <w:r w:rsidR="00772499">
        <w:rPr>
          <w:color w:val="000000" w:themeColor="text1"/>
        </w:rPr>
        <w:t xml:space="preserve">nimetatud </w:t>
      </w:r>
      <w:r w:rsidR="00772499" w:rsidRPr="00EA1B61">
        <w:rPr>
          <w:color w:val="000000" w:themeColor="text1"/>
        </w:rPr>
        <w:t>sekkumisviisi</w:t>
      </w:r>
      <w:r w:rsidR="00F029EC">
        <w:rPr>
          <w:color w:val="000000" w:themeColor="text1"/>
        </w:rPr>
        <w:t xml:space="preserve"> – </w:t>
      </w:r>
      <w:r w:rsidR="00F029EC" w:rsidRPr="001B2E0A">
        <w:t>mesinikele ja nende organisatsioonidele suunatud nõustamisteenused</w:t>
      </w:r>
      <w:r w:rsidR="00F029EC" w:rsidRPr="00D750F6">
        <w:t>, tehniline abi,</w:t>
      </w:r>
      <w:r w:rsidR="00F029EC" w:rsidRPr="001B2E0A">
        <w:t xml:space="preserve"> koolitus, teave ja parimate praktikate vahetamine, sealhulgas võrgustike kaudu</w:t>
      </w:r>
      <w:r w:rsidR="00F029EC">
        <w:t xml:space="preserve"> – raames </w:t>
      </w:r>
      <w:r w:rsidR="00F029EC">
        <w:rPr>
          <w:color w:val="000000" w:themeColor="text1"/>
        </w:rPr>
        <w:t>mesinikele nõustamisteenust osutava usaldusmesiniku kohta. Usaldusmesinikud</w:t>
      </w:r>
      <w:r w:rsidR="00F029EC" w:rsidRPr="00536A46">
        <w:rPr>
          <w:color w:val="000000" w:themeColor="text1"/>
        </w:rPr>
        <w:t xml:space="preserve"> on kogenud</w:t>
      </w:r>
      <w:r w:rsidR="00F029EC">
        <w:rPr>
          <w:color w:val="000000" w:themeColor="text1"/>
        </w:rPr>
        <w:t>,</w:t>
      </w:r>
      <w:r w:rsidR="00F029EC" w:rsidRPr="00536A46">
        <w:rPr>
          <w:color w:val="000000" w:themeColor="text1"/>
        </w:rPr>
        <w:t xml:space="preserve"> </w:t>
      </w:r>
      <w:r w:rsidR="00F029EC">
        <w:rPr>
          <w:color w:val="000000" w:themeColor="text1"/>
        </w:rPr>
        <w:t>aktiivsed</w:t>
      </w:r>
      <w:r w:rsidR="00F029EC" w:rsidRPr="00536A46">
        <w:rPr>
          <w:color w:val="000000" w:themeColor="text1"/>
        </w:rPr>
        <w:t xml:space="preserve"> ja </w:t>
      </w:r>
      <w:r w:rsidR="00F029EC" w:rsidRPr="00536A46">
        <w:rPr>
          <w:color w:val="000000" w:themeColor="text1"/>
        </w:rPr>
        <w:lastRenderedPageBreak/>
        <w:t xml:space="preserve">usaldusväärsed </w:t>
      </w:r>
      <w:r w:rsidR="00F029EC">
        <w:rPr>
          <w:color w:val="000000" w:themeColor="text1"/>
        </w:rPr>
        <w:t>tegev</w:t>
      </w:r>
      <w:r w:rsidR="00F029EC" w:rsidRPr="00536A46">
        <w:rPr>
          <w:color w:val="000000" w:themeColor="text1"/>
        </w:rPr>
        <w:t>mesinikud, kelle poole vähem teadlikud mesini</w:t>
      </w:r>
      <w:r w:rsidR="00F029EC">
        <w:rPr>
          <w:color w:val="000000" w:themeColor="text1"/>
        </w:rPr>
        <w:t xml:space="preserve">kud võivad nõu saamiseks </w:t>
      </w:r>
      <w:r w:rsidR="00F029EC" w:rsidRPr="00536A46">
        <w:rPr>
          <w:color w:val="000000" w:themeColor="text1"/>
        </w:rPr>
        <w:t>praktiliste ja kiireloomul</w:t>
      </w:r>
      <w:r w:rsidR="00F029EC">
        <w:rPr>
          <w:color w:val="000000" w:themeColor="text1"/>
        </w:rPr>
        <w:t xml:space="preserve">iste küsimuste ja probleemidega pöörduda. </w:t>
      </w:r>
      <w:r w:rsidR="00F029EC">
        <w:t>Eelmis</w:t>
      </w:r>
      <w:r w:rsidR="00F029EC" w:rsidRPr="00C13D2F">
        <w:t>el</w:t>
      </w:r>
      <w:r w:rsidR="00F029EC">
        <w:t xml:space="preserve"> EL-i eelarveperioodi</w:t>
      </w:r>
      <w:r w:rsidR="00F029EC" w:rsidRPr="001E3123">
        <w:t>l</w:t>
      </w:r>
      <w:r w:rsidR="00F029EC" w:rsidRPr="00C13D2F">
        <w:t xml:space="preserve"> </w:t>
      </w:r>
      <w:r w:rsidR="00F029EC" w:rsidRPr="001E3123">
        <w:t>mesindussektori</w:t>
      </w:r>
      <w:r w:rsidR="00346546">
        <w:t>sse</w:t>
      </w:r>
      <w:r w:rsidR="00F029EC" w:rsidRPr="001E3123">
        <w:t xml:space="preserve"> sekkumisega samalaadse mesindusprogrammi toetusmeetme</w:t>
      </w:r>
      <w:r w:rsidR="00F029EC">
        <w:t xml:space="preserve"> viimase 3-aastase rakendusperioodi 1.08.2019 – 31.07.2022 raames toetatud usaldusmesinike nõustamisteenust kasutanute küsimused puudutasid väga erinevaid teemasid, sealhulgas </w:t>
      </w:r>
      <w:r w:rsidR="00F029EC">
        <w:rPr>
          <w:color w:val="000000" w:themeColor="text1"/>
        </w:rPr>
        <w:t xml:space="preserve">mesilaste haiguste tunnuseid, </w:t>
      </w:r>
      <w:r w:rsidR="00F029EC">
        <w:t xml:space="preserve">varroatoositõrje tegemist ja varroalestade lugemist, </w:t>
      </w:r>
      <w:r w:rsidR="00F029EC" w:rsidRPr="001D27C5">
        <w:rPr>
          <w:color w:val="000000" w:themeColor="text1"/>
        </w:rPr>
        <w:t>mesila</w:t>
      </w:r>
      <w:r w:rsidR="00F029EC">
        <w:rPr>
          <w:color w:val="000000" w:themeColor="text1"/>
        </w:rPr>
        <w:t xml:space="preserve">sperede talvesööda kontrollimist, mesilasperede hukkumist, inventari ja </w:t>
      </w:r>
      <w:r w:rsidR="00F029EC" w:rsidRPr="001D27C5">
        <w:rPr>
          <w:color w:val="000000" w:themeColor="text1"/>
        </w:rPr>
        <w:t xml:space="preserve">uute </w:t>
      </w:r>
      <w:r w:rsidR="00F029EC">
        <w:rPr>
          <w:color w:val="000000" w:themeColor="text1"/>
        </w:rPr>
        <w:t>mesilasperede soetamist, mesilasperede juurdekasvu, sülemlemist, jne</w:t>
      </w:r>
      <w:r w:rsidR="00F029EC" w:rsidRPr="001D27C5">
        <w:rPr>
          <w:color w:val="000000" w:themeColor="text1"/>
        </w:rPr>
        <w:t>.</w:t>
      </w:r>
      <w:r w:rsidR="00F029EC">
        <w:rPr>
          <w:color w:val="000000" w:themeColor="text1"/>
        </w:rPr>
        <w:t xml:space="preserve"> </w:t>
      </w:r>
      <w:r w:rsidR="00F527A8">
        <w:rPr>
          <w:color w:val="000000" w:themeColor="text1"/>
        </w:rPr>
        <w:t>Usaldusmesinikuna</w:t>
      </w:r>
      <w:r w:rsidR="00F029EC">
        <w:rPr>
          <w:color w:val="000000" w:themeColor="text1"/>
        </w:rPr>
        <w:t xml:space="preserve"> </w:t>
      </w:r>
      <w:r w:rsidR="00F527A8">
        <w:rPr>
          <w:color w:val="000000" w:themeColor="text1"/>
        </w:rPr>
        <w:t>võib mesinikke nõustada mesindus- ja mesilashaiguste alaselt pädev mesinik, kes omab mesinduse valdkonnas kutseseaduses sätestatud alustel ja korras antud kutset või välisriigis antud samaväärset kutset, on läbinud mesindus- ja mesilashaiguste alase koolituse või omab asjakohast kõrgharidust ning kellega on mesinduskogu sõlminud asjakohase lepingu</w:t>
      </w:r>
      <w:r w:rsidR="00F029EC">
        <w:rPr>
          <w:color w:val="000000" w:themeColor="text1"/>
        </w:rPr>
        <w:t>.</w:t>
      </w:r>
      <w:r w:rsidR="000A3F41">
        <w:rPr>
          <w:color w:val="000000" w:themeColor="text1"/>
        </w:rPr>
        <w:t xml:space="preserve"> Mesinduskogu ja usaldusmesiniku vahel sõlmitavas lepingus sätestatakse </w:t>
      </w:r>
      <w:r w:rsidR="000A3F41" w:rsidRPr="000A3F41">
        <w:rPr>
          <w:color w:val="000000" w:themeColor="text1"/>
        </w:rPr>
        <w:t>nõustamise tingimused</w:t>
      </w:r>
      <w:r w:rsidR="000A3F41">
        <w:rPr>
          <w:color w:val="000000" w:themeColor="text1"/>
        </w:rPr>
        <w:t xml:space="preserve"> ja arvestuse pidamise kohustus</w:t>
      </w:r>
      <w:r w:rsidR="000A3F41" w:rsidRPr="000A3F41">
        <w:rPr>
          <w:color w:val="000000" w:themeColor="text1"/>
        </w:rPr>
        <w:t xml:space="preserve">, </w:t>
      </w:r>
      <w:r w:rsidR="000A3F41">
        <w:rPr>
          <w:color w:val="000000" w:themeColor="text1"/>
        </w:rPr>
        <w:t xml:space="preserve">samuti </w:t>
      </w:r>
      <w:r w:rsidR="000A3F41" w:rsidRPr="000A3F41">
        <w:rPr>
          <w:color w:val="000000" w:themeColor="text1"/>
        </w:rPr>
        <w:t>nõusolek</w:t>
      </w:r>
      <w:r w:rsidR="000A3F41">
        <w:rPr>
          <w:color w:val="000000" w:themeColor="text1"/>
        </w:rPr>
        <w:t>u andmine</w:t>
      </w:r>
      <w:r w:rsidR="000A3F41" w:rsidRPr="000A3F41">
        <w:rPr>
          <w:color w:val="000000" w:themeColor="text1"/>
        </w:rPr>
        <w:t xml:space="preserve"> usaldusmesin</w:t>
      </w:r>
      <w:r w:rsidR="000A3F41">
        <w:rPr>
          <w:color w:val="000000" w:themeColor="text1"/>
        </w:rPr>
        <w:t>ik</w:t>
      </w:r>
      <w:r w:rsidR="000A3F41" w:rsidRPr="000A3F41">
        <w:rPr>
          <w:color w:val="000000" w:themeColor="text1"/>
        </w:rPr>
        <w:t>u andmete avald</w:t>
      </w:r>
      <w:r w:rsidR="000A3F41">
        <w:rPr>
          <w:color w:val="000000" w:themeColor="text1"/>
        </w:rPr>
        <w:t>amiseks.</w:t>
      </w:r>
    </w:p>
    <w:p w14:paraId="01B99C68" w14:textId="77777777" w:rsidR="00F527A8" w:rsidRDefault="00F527A8" w:rsidP="00F527A8">
      <w:pPr>
        <w:rPr>
          <w:color w:val="000000" w:themeColor="text1"/>
        </w:rPr>
      </w:pPr>
    </w:p>
    <w:p w14:paraId="70371E56" w14:textId="0BD79329" w:rsidR="00F527A8" w:rsidRDefault="008200EA" w:rsidP="008200EA">
      <w:pPr>
        <w:jc w:val="both"/>
        <w:rPr>
          <w:color w:val="000000" w:themeColor="text1"/>
        </w:rPr>
      </w:pPr>
      <w:r>
        <w:rPr>
          <w:color w:val="000000" w:themeColor="text1"/>
        </w:rPr>
        <w:t xml:space="preserve">Lõike 2 kohaselt tuleb piisava järelevalve tagamiseks usaldusmesinikul pidada vabas vormis arvestust </w:t>
      </w:r>
      <w:r w:rsidRPr="00F6704A">
        <w:rPr>
          <w:color w:val="000000" w:themeColor="text1"/>
        </w:rPr>
        <w:t>nõus</w:t>
      </w:r>
      <w:r>
        <w:rPr>
          <w:color w:val="000000" w:themeColor="text1"/>
        </w:rPr>
        <w:t xml:space="preserve">tamisteenuse osutamise aja, koha (mesiniku juures kohapeal nõustamisel mesiniku asukoht või telefoni teel nõustamisel märge telefoni teel nõustamise kohta), nõustamisteema, nõustatavale välja pakutud lahenduse ja mesiniku juures kohapeal nõustamisteenuse osutamise korral isikliku sõiduauto kasutamise kohta. </w:t>
      </w:r>
      <w:r>
        <w:t xml:space="preserve">Nõustamisteemade kohta arvestuse pidamise eesmärgiks on saada </w:t>
      </w:r>
      <w:r w:rsidRPr="00C75BFA">
        <w:t>rohkem ja täpsemat teavet</w:t>
      </w:r>
      <w:r>
        <w:t xml:space="preserve"> mesinike nõustamisvajaduse osas, mis annaks sisendit näiteks järgmistel aastatel või perioodidel kavandatavate teabe- ja õppepäevade või kursuste ning teabematerjalide teemade ja sisu planeerimiseks. </w:t>
      </w:r>
      <w:r>
        <w:rPr>
          <w:color w:val="000000" w:themeColor="text1"/>
        </w:rPr>
        <w:t xml:space="preserve">Mesiniku juures kohapeal nõustamisteenuse osutamise korral isikliku sõiduauto kasutamisel peetakse arvestust </w:t>
      </w:r>
      <w:r w:rsidRPr="00830E6E">
        <w:rPr>
          <w:color w:val="000000" w:themeColor="text1"/>
        </w:rPr>
        <w:t>sõiduauto l</w:t>
      </w:r>
      <w:r>
        <w:rPr>
          <w:color w:val="000000" w:themeColor="text1"/>
        </w:rPr>
        <w:t>äbisõidumõõdiku alg- ja lõppnäidu kohta iga nõustamisteenuse osutamiseks tehtud sõidu korral.</w:t>
      </w:r>
    </w:p>
    <w:p w14:paraId="7625F44E" w14:textId="77777777" w:rsidR="00F527A8" w:rsidRDefault="00F527A8" w:rsidP="008200EA">
      <w:pPr>
        <w:jc w:val="both"/>
        <w:rPr>
          <w:color w:val="000000" w:themeColor="text1"/>
        </w:rPr>
      </w:pPr>
    </w:p>
    <w:p w14:paraId="45D2AD48" w14:textId="660B9FCE" w:rsidR="00F2645A" w:rsidRDefault="00F029EC" w:rsidP="00F2645A">
      <w:pPr>
        <w:jc w:val="both"/>
      </w:pPr>
      <w:r>
        <w:t xml:space="preserve">Lõikes 3 </w:t>
      </w:r>
      <w:r w:rsidR="00526BE3">
        <w:t xml:space="preserve">sätestatakse </w:t>
      </w:r>
      <w:r w:rsidR="00EB05F0">
        <w:t xml:space="preserve">rida </w:t>
      </w:r>
      <w:r w:rsidR="00526BE3">
        <w:t>nõude</w:t>
      </w:r>
      <w:r w:rsidR="008200EA">
        <w:t>i</w:t>
      </w:r>
      <w:r w:rsidR="00526BE3">
        <w:t xml:space="preserve">d </w:t>
      </w:r>
      <w:r w:rsidR="008200EA">
        <w:t xml:space="preserve">määruse </w:t>
      </w:r>
      <w:r w:rsidR="008200EA">
        <w:rPr>
          <w:color w:val="000000" w:themeColor="text1"/>
        </w:rPr>
        <w:t>§</w:t>
      </w:r>
      <w:r w:rsidR="008200EA" w:rsidRPr="00EA1B61">
        <w:rPr>
          <w:color w:val="000000" w:themeColor="text1"/>
        </w:rPr>
        <w:t xml:space="preserve"> 4 lõike 3 punkti</w:t>
      </w:r>
      <w:r w:rsidR="008200EA">
        <w:rPr>
          <w:color w:val="000000" w:themeColor="text1"/>
        </w:rPr>
        <w:t>s 1</w:t>
      </w:r>
      <w:r w:rsidR="008200EA" w:rsidRPr="00EA1B61">
        <w:rPr>
          <w:color w:val="000000" w:themeColor="text1"/>
        </w:rPr>
        <w:t xml:space="preserve"> </w:t>
      </w:r>
      <w:r w:rsidR="008200EA">
        <w:rPr>
          <w:color w:val="000000" w:themeColor="text1"/>
        </w:rPr>
        <w:t xml:space="preserve">nimetatud </w:t>
      </w:r>
      <w:r w:rsidR="008200EA" w:rsidRPr="00EA1B61">
        <w:rPr>
          <w:color w:val="000000" w:themeColor="text1"/>
        </w:rPr>
        <w:t>sekkumisviisi</w:t>
      </w:r>
      <w:r w:rsidR="008200EA">
        <w:rPr>
          <w:color w:val="000000" w:themeColor="text1"/>
        </w:rPr>
        <w:t xml:space="preserve"> – </w:t>
      </w:r>
      <w:r w:rsidR="008200EA" w:rsidRPr="001B2E0A">
        <w:t>mesinikele ja nende organisatsioonidele suunatud nõustamisteenused</w:t>
      </w:r>
      <w:r w:rsidR="008200EA" w:rsidRPr="00D750F6">
        <w:t>, tehniline abi,</w:t>
      </w:r>
      <w:r w:rsidR="008200EA" w:rsidRPr="001B2E0A">
        <w:t xml:space="preserve"> koolitus, teave ja parimate praktikate vahetamine, sealhulgas võrgustike kaudu</w:t>
      </w:r>
      <w:r w:rsidR="008200EA">
        <w:t xml:space="preserve"> – raames </w:t>
      </w:r>
      <w:r w:rsidR="00471DC8">
        <w:t>teabe- ja õppepäeva ning kursuse, sealhulgas noorte ja alustavate mesindusettevõtjate teadmiste, oskuste ja tootmistegevuse arendamise alase kursuse, korraldamise kohta</w:t>
      </w:r>
      <w:r w:rsidR="008200EA">
        <w:rPr>
          <w:color w:val="000000" w:themeColor="text1"/>
        </w:rPr>
        <w:t>.</w:t>
      </w:r>
      <w:r w:rsidR="00C54440">
        <w:t xml:space="preserve"> </w:t>
      </w:r>
      <w:r w:rsidR="00FA3D9E">
        <w:t>Piisava järelevalve teostamise võimaldamiseks</w:t>
      </w:r>
      <w:r w:rsidR="00154B87">
        <w:t xml:space="preserve"> tuleb teabe- ja õppepäeva ning kursuse toimumise ajast ja kohast PRIA-t elektrooniliselt vähemalt kümme tööpäeva ette teavitada. Teabe- ja õppepäeva ning kursuse minimaalne kestus ilma vaheaegadeta peab olema vähemalt kolm akadeemilist tundi ühel kalendripäeval. Pause ja vaheaegasid võib teabe- ja õppepäeva ning kursuse </w:t>
      </w:r>
      <w:r w:rsidR="00B455C9">
        <w:t xml:space="preserve">päevakava sisaldada, kuid kolme akadeemilise tunni sisse </w:t>
      </w:r>
      <w:r w:rsidR="00767D16">
        <w:t xml:space="preserve">neid </w:t>
      </w:r>
      <w:r w:rsidR="00B455C9">
        <w:t xml:space="preserve">ei arvestata. </w:t>
      </w:r>
      <w:r w:rsidR="00C75BFA">
        <w:t xml:space="preserve">Teabe- ja õppepäeva ning kursuse </w:t>
      </w:r>
      <w:r w:rsidR="003A28AA">
        <w:t>korraldamise</w:t>
      </w:r>
      <w:r w:rsidR="000873CF">
        <w:t xml:space="preserve"> </w:t>
      </w:r>
      <w:r w:rsidR="003A28AA">
        <w:t xml:space="preserve">teatava </w:t>
      </w:r>
      <w:r w:rsidR="000873CF">
        <w:t xml:space="preserve">otstarbekuse tagamiseks peab sellest </w:t>
      </w:r>
      <w:r w:rsidR="000873CF" w:rsidRPr="00FE5A00">
        <w:rPr>
          <w:color w:val="000000" w:themeColor="text1"/>
        </w:rPr>
        <w:t>osalejate nim</w:t>
      </w:r>
      <w:r w:rsidR="000873CF">
        <w:rPr>
          <w:color w:val="000000" w:themeColor="text1"/>
        </w:rPr>
        <w:t>ekirja alusel osa võtma minimaalselt kümme inimest.</w:t>
      </w:r>
      <w:r w:rsidR="00B455C9">
        <w:t xml:space="preserve"> </w:t>
      </w:r>
      <w:r w:rsidR="003A28AA">
        <w:t xml:space="preserve">Erandkorras võib teabe- ja õppepäeval ning kursusel osalevate inimeste arv jääda alla </w:t>
      </w:r>
      <w:r w:rsidR="00471DC8">
        <w:t>kümne</w:t>
      </w:r>
      <w:r w:rsidR="003A28AA">
        <w:t xml:space="preserve">, kui selle objektiivseks põhjuseks on </w:t>
      </w:r>
      <w:r w:rsidR="003A28AA" w:rsidRPr="003A28AA">
        <w:t xml:space="preserve">teabe- ja õppepäeva ning kursuse </w:t>
      </w:r>
      <w:r w:rsidR="003A28AA">
        <w:t>läbiviimiseks vajalik õppeinventar (näiteks olemasolev õppeinventar võimaldab läbi viia praktilise õppepäeva</w:t>
      </w:r>
      <w:r w:rsidR="003A28AA" w:rsidRPr="003A28AA">
        <w:t xml:space="preserve"> </w:t>
      </w:r>
      <w:r w:rsidR="003A28AA">
        <w:t xml:space="preserve">korraga </w:t>
      </w:r>
      <w:r w:rsidR="00951BBD">
        <w:t xml:space="preserve">vaid </w:t>
      </w:r>
      <w:r w:rsidR="00471DC8">
        <w:t>kuuele</w:t>
      </w:r>
      <w:r w:rsidR="003A28AA">
        <w:t xml:space="preserve"> inimesele). </w:t>
      </w:r>
      <w:r w:rsidR="00C54440">
        <w:t>O</w:t>
      </w:r>
      <w:r w:rsidR="00C54440" w:rsidRPr="00C54440">
        <w:t>saliselt või täi</w:t>
      </w:r>
      <w:r w:rsidR="00C54440">
        <w:t xml:space="preserve">elikult veebikeskkonnas toimuva teabe- ja õppepäeva ning kursuse </w:t>
      </w:r>
      <w:r w:rsidR="00FA3D9E">
        <w:t xml:space="preserve">korral tuleb osalejate üle arvestust pidada </w:t>
      </w:r>
      <w:r w:rsidR="00FA3D9E" w:rsidRPr="00FE5A00">
        <w:rPr>
          <w:color w:val="000000" w:themeColor="text1"/>
        </w:rPr>
        <w:t>elektrooniliselt registreeritud osalejate nimekirja alusel</w:t>
      </w:r>
      <w:r w:rsidR="00FA3D9E">
        <w:rPr>
          <w:color w:val="000000" w:themeColor="text1"/>
        </w:rPr>
        <w:t>.</w:t>
      </w:r>
    </w:p>
    <w:p w14:paraId="208F1CFB" w14:textId="5D7F5072" w:rsidR="00127AAC" w:rsidRDefault="00127AAC" w:rsidP="00203811">
      <w:pPr>
        <w:jc w:val="both"/>
        <w:rPr>
          <w:color w:val="000000" w:themeColor="text1"/>
        </w:rPr>
      </w:pPr>
    </w:p>
    <w:p w14:paraId="41BFC084" w14:textId="66FEA0B0" w:rsidR="003E21CE" w:rsidRDefault="008351E0" w:rsidP="00A321C1">
      <w:pPr>
        <w:jc w:val="both"/>
      </w:pPr>
      <w:r w:rsidRPr="008351E0">
        <w:t xml:space="preserve">Lõikes </w:t>
      </w:r>
      <w:r w:rsidR="00690328">
        <w:t>4</w:t>
      </w:r>
      <w:r w:rsidRPr="008351E0">
        <w:t xml:space="preserve"> </w:t>
      </w:r>
      <w:r w:rsidR="002A7082">
        <w:t xml:space="preserve">sätestatakse </w:t>
      </w:r>
      <w:r>
        <w:t>nõuded</w:t>
      </w:r>
      <w:r w:rsidR="002A7082">
        <w:t xml:space="preserve"> tegevus</w:t>
      </w:r>
      <w:r w:rsidR="005D5590">
        <w:t>e osas</w:t>
      </w:r>
      <w:r>
        <w:t xml:space="preserve">, mida rakendatakse </w:t>
      </w:r>
      <w:r w:rsidR="00690328">
        <w:t xml:space="preserve">määruse </w:t>
      </w:r>
      <w:r w:rsidR="00690328">
        <w:rPr>
          <w:color w:val="000000" w:themeColor="text1"/>
        </w:rPr>
        <w:t>§</w:t>
      </w:r>
      <w:r w:rsidR="00690328" w:rsidRPr="00EA1B61">
        <w:rPr>
          <w:color w:val="000000" w:themeColor="text1"/>
        </w:rPr>
        <w:t xml:space="preserve"> 4 lõike 3 punkti</w:t>
      </w:r>
      <w:r w:rsidR="00690328">
        <w:rPr>
          <w:color w:val="000000" w:themeColor="text1"/>
        </w:rPr>
        <w:t>s 2</w:t>
      </w:r>
      <w:r w:rsidR="00690328" w:rsidRPr="00EA1B61">
        <w:rPr>
          <w:color w:val="000000" w:themeColor="text1"/>
        </w:rPr>
        <w:t xml:space="preserve"> </w:t>
      </w:r>
      <w:r w:rsidR="00690328">
        <w:rPr>
          <w:color w:val="000000" w:themeColor="text1"/>
        </w:rPr>
        <w:t>nimetatud</w:t>
      </w:r>
      <w:r>
        <w:t xml:space="preserve"> sekkumisviisi – </w:t>
      </w:r>
      <w:r w:rsidRPr="00A617E6">
        <w:t>investeeringud materiaalsesse ja immateriaalsesse varasse ning muud tegevused, sealhulgas</w:t>
      </w:r>
      <w:r w:rsidRPr="00FB5A7B">
        <w:t xml:space="preserve"> võitlus kahjurite ja mesilaste haigustega, eriti </w:t>
      </w:r>
      <w:r>
        <w:t>varroatoosi tõrje – raames.</w:t>
      </w:r>
      <w:r w:rsidR="002A7082">
        <w:t xml:space="preserve"> Selliseks tegevuseks on </w:t>
      </w:r>
      <w:r w:rsidR="002A7082" w:rsidRPr="002A7082">
        <w:t>varroatoosi ja mu</w:t>
      </w:r>
      <w:r w:rsidR="009A68C6">
        <w:t>ude mesilashaiguste seir</w:t>
      </w:r>
      <w:r w:rsidR="002A7082" w:rsidRPr="002A7082">
        <w:t xml:space="preserve">e, ennetamise ja tõrje </w:t>
      </w:r>
      <w:r w:rsidR="0004390E">
        <w:t xml:space="preserve">ning kahjurite tõrje </w:t>
      </w:r>
      <w:r w:rsidR="002A7082" w:rsidRPr="002A7082">
        <w:t>vahendit</w:t>
      </w:r>
      <w:r w:rsidR="001364C5">
        <w:t xml:space="preserve">e ostmine. </w:t>
      </w:r>
      <w:r w:rsidR="001364C5" w:rsidRPr="002369C5">
        <w:t xml:space="preserve">Toetusega kompenseeritakse selliste vahendite </w:t>
      </w:r>
      <w:r w:rsidR="002369C5" w:rsidRPr="00392E4F">
        <w:t xml:space="preserve">(näiteks kärjeisolaatorid, iduperetarud, sipelghappelapid, aurustid, desinfitseerimisvahendid, jne) </w:t>
      </w:r>
      <w:r w:rsidR="001364C5" w:rsidRPr="002369C5">
        <w:t>ostukulu.</w:t>
      </w:r>
      <w:r w:rsidR="001364C5">
        <w:t xml:space="preserve"> </w:t>
      </w:r>
      <w:r w:rsidR="002369C5">
        <w:t xml:space="preserve">Vahendid ostab </w:t>
      </w:r>
      <w:r w:rsidR="002369C5" w:rsidRPr="002369C5">
        <w:t>mesinduskogu</w:t>
      </w:r>
      <w:r w:rsidR="00712728">
        <w:t xml:space="preserve"> vastavalt tegevuskavas </w:t>
      </w:r>
      <w:r w:rsidR="003B48F3">
        <w:t xml:space="preserve">välja toodud </w:t>
      </w:r>
      <w:r w:rsidR="00712728">
        <w:t>põhjendatud vajadus</w:t>
      </w:r>
      <w:r w:rsidR="00D03E4F">
        <w:t>t</w:t>
      </w:r>
      <w:r w:rsidR="00712728">
        <w:t>ele ning</w:t>
      </w:r>
      <w:r w:rsidR="002369C5">
        <w:t xml:space="preserve"> jaotab need tegevuskavas kirjeldatud kriteeriumite alusel mesinikele.</w:t>
      </w:r>
      <w:r w:rsidR="003B48F3" w:rsidRPr="003B48F3">
        <w:t xml:space="preserve"> </w:t>
      </w:r>
      <w:r w:rsidR="0076287D">
        <w:t>Komisjoni delegeeritud määruse (EL) 2022/126 III lisa kohaselt kuuluvad rahastamiskõlblike kululiikide hulka ka v</w:t>
      </w:r>
      <w:r w:rsidR="00F429FC">
        <w:t>eterinaarravimid kahjurite tõrjeks ja mesilaste haiguste raviks</w:t>
      </w:r>
      <w:r w:rsidR="0076287D">
        <w:t>.</w:t>
      </w:r>
    </w:p>
    <w:p w14:paraId="3CF4A908" w14:textId="77777777" w:rsidR="003E21CE" w:rsidRDefault="003E21CE" w:rsidP="00A321C1">
      <w:pPr>
        <w:jc w:val="both"/>
      </w:pPr>
    </w:p>
    <w:p w14:paraId="09D2246A" w14:textId="5953610A" w:rsidR="00A321C1" w:rsidRPr="00A321C1" w:rsidRDefault="003E21CE" w:rsidP="00A321C1">
      <w:pPr>
        <w:jc w:val="both"/>
      </w:pPr>
      <w:r>
        <w:lastRenderedPageBreak/>
        <w:t>K</w:t>
      </w:r>
      <w:r w:rsidRPr="003E21CE">
        <w:t>ompenseeritavat varroatoosi ja mu</w:t>
      </w:r>
      <w:r w:rsidR="009A68C6">
        <w:t>ude mesilashaiguste seir</w:t>
      </w:r>
      <w:r w:rsidRPr="003E21CE">
        <w:t xml:space="preserve">e, ennetamise ja tõrje ning kahjurite tõrje vahendit kasutav mesinik </w:t>
      </w:r>
      <w:r>
        <w:t xml:space="preserve">peab </w:t>
      </w:r>
      <w:r w:rsidRPr="003E21CE">
        <w:t>olema aktiivselt tegutsev ja täitma veterinaarseadusest tulenevaid nõudeid. Selle kinnituseks peab mesinik põllumajandusloomade registri andmete kohaselt mesinduskogu</w:t>
      </w:r>
      <w:r>
        <w:t>lt kompenseeritava vahendi saamise ja kasutamise ajal</w:t>
      </w:r>
      <w:r w:rsidR="00A01B59">
        <w:t xml:space="preserve"> pidama</w:t>
      </w:r>
      <w:r w:rsidRPr="003E21CE">
        <w:t xml:space="preserve"> vähemalt ühte mesilasperet.</w:t>
      </w:r>
    </w:p>
    <w:p w14:paraId="7A634E5B" w14:textId="77777777" w:rsidR="00A321C1" w:rsidRDefault="00A321C1" w:rsidP="00021EE1">
      <w:pPr>
        <w:jc w:val="both"/>
      </w:pPr>
    </w:p>
    <w:p w14:paraId="14DF79D5" w14:textId="6CC796E7" w:rsidR="00021EE1" w:rsidRPr="00021EE1" w:rsidRDefault="00021EE1" w:rsidP="00021EE1">
      <w:pPr>
        <w:jc w:val="both"/>
      </w:pPr>
      <w:r w:rsidRPr="00021EE1">
        <w:t xml:space="preserve">Lõikes </w:t>
      </w:r>
      <w:r w:rsidR="00A01B59">
        <w:t>5</w:t>
      </w:r>
      <w:r>
        <w:t xml:space="preserve"> </w:t>
      </w:r>
      <w:r w:rsidRPr="00021EE1">
        <w:t xml:space="preserve"> </w:t>
      </w:r>
      <w:r>
        <w:t xml:space="preserve">sätestatakse nõuded tegevuste kohta, mida rakendatakse </w:t>
      </w:r>
      <w:r w:rsidR="00EA3254">
        <w:t xml:space="preserve">määruse </w:t>
      </w:r>
      <w:r w:rsidR="00EA3254">
        <w:rPr>
          <w:color w:val="000000" w:themeColor="text1"/>
        </w:rPr>
        <w:t>§</w:t>
      </w:r>
      <w:r w:rsidR="00EA3254" w:rsidRPr="00EA1B61">
        <w:rPr>
          <w:color w:val="000000" w:themeColor="text1"/>
        </w:rPr>
        <w:t xml:space="preserve"> 4 lõike 3 punkti</w:t>
      </w:r>
      <w:r w:rsidR="00EA3254">
        <w:rPr>
          <w:color w:val="000000" w:themeColor="text1"/>
        </w:rPr>
        <w:t>s 3</w:t>
      </w:r>
      <w:r w:rsidR="00EA3254" w:rsidRPr="00EA1B61">
        <w:rPr>
          <w:color w:val="000000" w:themeColor="text1"/>
        </w:rPr>
        <w:t xml:space="preserve"> </w:t>
      </w:r>
      <w:r w:rsidR="00EA3254">
        <w:rPr>
          <w:color w:val="000000" w:themeColor="text1"/>
        </w:rPr>
        <w:t>nimetatud</w:t>
      </w:r>
      <w:r>
        <w:t xml:space="preserve"> sekkumisviisi – </w:t>
      </w:r>
      <w:r w:rsidRPr="001B2E0A">
        <w:t>tegevused laboratooriumide toetamiseks mesindustoodete, mesilaste kao või tootlikkuse languse ja mesilastele potentsiaalselt toksiliste ainete analüüsimise eest</w:t>
      </w:r>
      <w:r>
        <w:t xml:space="preserve"> – raames.</w:t>
      </w:r>
      <w:r w:rsidR="00476D6A">
        <w:t xml:space="preserve"> M</w:t>
      </w:r>
      <w:r w:rsidR="00476D6A" w:rsidRPr="00476D6A">
        <w:t>esilashaiguste ja mesilastele kahjulike ainete ning mee j</w:t>
      </w:r>
      <w:r w:rsidR="00476D6A">
        <w:t xml:space="preserve">a meetoodete kvaliteedi analüüsimisel peab analüüse tegev laboratoorium </w:t>
      </w:r>
      <w:r w:rsidR="00476D6A" w:rsidRPr="00FE5A00">
        <w:rPr>
          <w:color w:val="000000" w:themeColor="text1"/>
        </w:rPr>
        <w:t>kasutama akrediteeritud ja valideeritud analüüsimetoodikaid ning olema analüüside tegemiseks akrediteeritud kehtiva standardi EVS-EN ISO/IEC 17025 „Katse- ja kalibreerimislaborite kompetentsuse üldnõuded” kohaselt</w:t>
      </w:r>
      <w:r w:rsidR="001420BD" w:rsidRPr="008B62FB">
        <w:rPr>
          <w:color w:val="000000" w:themeColor="text1"/>
        </w:rPr>
        <w:t>.</w:t>
      </w:r>
      <w:r w:rsidR="001420BD">
        <w:rPr>
          <w:color w:val="000000" w:themeColor="text1"/>
        </w:rPr>
        <w:t xml:space="preserve"> Antud nõuded on vajalikud </w:t>
      </w:r>
      <w:r w:rsidR="001420BD" w:rsidRPr="00476D6A">
        <w:t>analüüside usaldusväärsuse ja kvaliteedi tagamiseks</w:t>
      </w:r>
      <w:r w:rsidR="001420BD">
        <w:t>.</w:t>
      </w:r>
    </w:p>
    <w:p w14:paraId="0FEBB540" w14:textId="77777777" w:rsidR="00A321C1" w:rsidRDefault="00A321C1" w:rsidP="00021EE1">
      <w:pPr>
        <w:jc w:val="both"/>
      </w:pPr>
    </w:p>
    <w:p w14:paraId="69B29DE1" w14:textId="29811E95" w:rsidR="0001605B" w:rsidRDefault="00021EE1" w:rsidP="00021EE1">
      <w:pPr>
        <w:jc w:val="both"/>
      </w:pPr>
      <w:r>
        <w:t xml:space="preserve">Lõikes </w:t>
      </w:r>
      <w:r w:rsidR="00EA3254">
        <w:t>6</w:t>
      </w:r>
      <w:r>
        <w:t xml:space="preserve"> </w:t>
      </w:r>
      <w:r w:rsidR="005D5590">
        <w:t>sätestatakse</w:t>
      </w:r>
      <w:r>
        <w:t xml:space="preserve"> </w:t>
      </w:r>
      <w:r w:rsidR="005D5590">
        <w:t xml:space="preserve">nõue </w:t>
      </w:r>
      <w:r w:rsidR="00EA3254">
        <w:t xml:space="preserve">määruse </w:t>
      </w:r>
      <w:r w:rsidR="00EA3254">
        <w:rPr>
          <w:color w:val="000000" w:themeColor="text1"/>
        </w:rPr>
        <w:t>§</w:t>
      </w:r>
      <w:r w:rsidR="00EA3254" w:rsidRPr="00EA1B61">
        <w:rPr>
          <w:color w:val="000000" w:themeColor="text1"/>
        </w:rPr>
        <w:t xml:space="preserve"> 4 lõike 3 punkti</w:t>
      </w:r>
      <w:r w:rsidR="00EA3254">
        <w:rPr>
          <w:color w:val="000000" w:themeColor="text1"/>
        </w:rPr>
        <w:t>s 4</w:t>
      </w:r>
      <w:r w:rsidR="00EA3254" w:rsidRPr="00EA1B61">
        <w:rPr>
          <w:color w:val="000000" w:themeColor="text1"/>
        </w:rPr>
        <w:t xml:space="preserve"> </w:t>
      </w:r>
      <w:r w:rsidR="00EA3254">
        <w:rPr>
          <w:color w:val="000000" w:themeColor="text1"/>
        </w:rPr>
        <w:t>nimetatud</w:t>
      </w:r>
      <w:r>
        <w:t xml:space="preserve"> sekkumisviisi – </w:t>
      </w:r>
      <w:r w:rsidRPr="001B2E0A">
        <w:t>koostöö asutustega, kes on spetsialiseerunud mesindust ja mesindustooteid käsitlevate teadusprogrammide rakendamisele</w:t>
      </w:r>
      <w:r>
        <w:t xml:space="preserve"> – raames</w:t>
      </w:r>
      <w:r w:rsidR="005D5590">
        <w:t xml:space="preserve"> rakendatava</w:t>
      </w:r>
      <w:r w:rsidR="0001605B">
        <w:t>te teadusuuringute</w:t>
      </w:r>
      <w:r w:rsidR="005D5590">
        <w:t xml:space="preserve"> kohta</w:t>
      </w:r>
      <w:r>
        <w:t>.</w:t>
      </w:r>
      <w:r w:rsidR="0001605B">
        <w:t xml:space="preserve"> Teadusuuringu </w:t>
      </w:r>
      <w:r w:rsidR="00D97393">
        <w:t xml:space="preserve">sisulise </w:t>
      </w:r>
      <w:r w:rsidR="0001605B">
        <w:t>kvaliteedi</w:t>
      </w:r>
      <w:r w:rsidR="00D97393">
        <w:t xml:space="preserve"> tagamiseks peab uuringut teostaval uuringuasutusel olema </w:t>
      </w:r>
      <w:r w:rsidR="00D97393" w:rsidRPr="00455937">
        <w:t>varasem</w:t>
      </w:r>
      <w:r w:rsidR="00D97393">
        <w:t xml:space="preserve"> </w:t>
      </w:r>
      <w:r w:rsidR="00D97393" w:rsidRPr="00455937">
        <w:t>mesindust käsitlevate</w:t>
      </w:r>
      <w:r w:rsidR="00D97393">
        <w:t xml:space="preserve"> uuringute tegemise kogemus </w:t>
      </w:r>
      <w:r w:rsidR="0077206C">
        <w:t>või</w:t>
      </w:r>
      <w:r w:rsidR="00D97393" w:rsidRPr="00455937">
        <w:t xml:space="preserve"> rahvusvahelise koostöö tegemise kogemus</w:t>
      </w:r>
      <w:r w:rsidR="00D97393">
        <w:t>.</w:t>
      </w:r>
    </w:p>
    <w:p w14:paraId="7A6E5AC6" w14:textId="769D68EB" w:rsidR="00250F2F" w:rsidRDefault="00250F2F" w:rsidP="00021EE1">
      <w:pPr>
        <w:jc w:val="both"/>
      </w:pPr>
    </w:p>
    <w:p w14:paraId="0AF4B18F" w14:textId="6854DFAF" w:rsidR="00D97465" w:rsidRDefault="00021EE1" w:rsidP="00021EE1">
      <w:pPr>
        <w:jc w:val="both"/>
      </w:pPr>
      <w:r>
        <w:t xml:space="preserve">Lõikes </w:t>
      </w:r>
      <w:r w:rsidR="00D97465">
        <w:t>7</w:t>
      </w:r>
      <w:r>
        <w:t xml:space="preserve"> sätestatakse nõuded tegevuste kohta, mida rakendatakse </w:t>
      </w:r>
      <w:r w:rsidR="00EA3254">
        <w:t xml:space="preserve">määruse </w:t>
      </w:r>
      <w:r w:rsidR="00EA3254">
        <w:rPr>
          <w:color w:val="000000" w:themeColor="text1"/>
        </w:rPr>
        <w:t>§</w:t>
      </w:r>
      <w:r w:rsidR="00EA3254" w:rsidRPr="00EA1B61">
        <w:rPr>
          <w:color w:val="000000" w:themeColor="text1"/>
        </w:rPr>
        <w:t xml:space="preserve"> 4 lõike 3 punkti</w:t>
      </w:r>
      <w:r w:rsidR="00EA3254">
        <w:rPr>
          <w:color w:val="000000" w:themeColor="text1"/>
        </w:rPr>
        <w:t>s 5</w:t>
      </w:r>
      <w:r w:rsidR="00EA3254" w:rsidRPr="00EA1B61">
        <w:rPr>
          <w:color w:val="000000" w:themeColor="text1"/>
        </w:rPr>
        <w:t xml:space="preserve"> </w:t>
      </w:r>
      <w:r w:rsidR="00EA3254">
        <w:rPr>
          <w:color w:val="000000" w:themeColor="text1"/>
        </w:rPr>
        <w:t>nimetatud</w:t>
      </w:r>
      <w:r>
        <w:t xml:space="preserve"> sekkumisviisi – </w:t>
      </w:r>
      <w:r w:rsidRPr="001B2E0A">
        <w:rPr>
          <w:lang w:eastAsia="en-GB"/>
        </w:rPr>
        <w:t>müügiedendus, teavitustegevus ja turundus, sealhulgas turuseire ning tegevused, mille eesmärk on eelkõige tõsta tarbijate teadlikkust mesindustoodete kvaliteedist</w:t>
      </w:r>
      <w:r>
        <w:t xml:space="preserve"> – raames.</w:t>
      </w:r>
      <w:r w:rsidR="00D97393">
        <w:t xml:space="preserve"> </w:t>
      </w:r>
      <w:r w:rsidR="00D97465" w:rsidRPr="005047E7">
        <w:t>Mesindussektori struktuuri- ja</w:t>
      </w:r>
      <w:r w:rsidR="00D97465">
        <w:t xml:space="preserve"> turu-uuringu osas, kui mesinduskogu selle tegemist tegevuskavas ette näeb, peab uuringu sisulise kvaliteedi tagamiseks seda korraldaval ettevõtjal olema vähemalt kolmeaastane </w:t>
      </w:r>
      <w:r w:rsidR="00D97465" w:rsidRPr="00FE5A00">
        <w:rPr>
          <w:color w:val="000000" w:themeColor="text1"/>
        </w:rPr>
        <w:t>struktuuri</w:t>
      </w:r>
      <w:r w:rsidR="00D97465">
        <w:rPr>
          <w:color w:val="000000" w:themeColor="text1"/>
        </w:rPr>
        <w:t>-</w:t>
      </w:r>
      <w:r w:rsidR="00D97465" w:rsidRPr="00FE5A00">
        <w:rPr>
          <w:color w:val="000000" w:themeColor="text1"/>
        </w:rPr>
        <w:t xml:space="preserve"> ja turu-uuringute tegemise kogemus</w:t>
      </w:r>
      <w:r w:rsidR="00D97465">
        <w:rPr>
          <w:color w:val="000000" w:themeColor="text1"/>
        </w:rPr>
        <w:t>. M</w:t>
      </w:r>
      <w:r w:rsidR="00D97465" w:rsidRPr="00FE5A00">
        <w:rPr>
          <w:color w:val="000000" w:themeColor="text1"/>
        </w:rPr>
        <w:t>e</w:t>
      </w:r>
      <w:r w:rsidR="00D97465">
        <w:rPr>
          <w:color w:val="000000" w:themeColor="text1"/>
        </w:rPr>
        <w:t>tt</w:t>
      </w:r>
      <w:r w:rsidR="00D97465" w:rsidRPr="00FE5A00">
        <w:rPr>
          <w:color w:val="000000" w:themeColor="text1"/>
        </w:rPr>
        <w:t xml:space="preserve"> ja mee</w:t>
      </w:r>
      <w:r w:rsidR="00D97465">
        <w:rPr>
          <w:color w:val="000000" w:themeColor="text1"/>
        </w:rPr>
        <w:t>tooteid tutvustava ürituse või kampaania</w:t>
      </w:r>
      <w:r w:rsidR="00D97465" w:rsidRPr="00FE5A00">
        <w:rPr>
          <w:color w:val="000000" w:themeColor="text1"/>
        </w:rPr>
        <w:t xml:space="preserve"> </w:t>
      </w:r>
      <w:r w:rsidR="00D97465">
        <w:rPr>
          <w:color w:val="000000" w:themeColor="text1"/>
        </w:rPr>
        <w:t>puhul peab p</w:t>
      </w:r>
      <w:r w:rsidR="00D97465" w:rsidRPr="00B763C9">
        <w:rPr>
          <w:color w:val="000000" w:themeColor="text1"/>
        </w:rPr>
        <w:t xml:space="preserve">iisava järelevalve </w:t>
      </w:r>
      <w:r w:rsidR="00D97465">
        <w:rPr>
          <w:color w:val="000000" w:themeColor="text1"/>
        </w:rPr>
        <w:t xml:space="preserve">teostamise võimaldamiseks PRIA-t ürituse või kampaania </w:t>
      </w:r>
      <w:r w:rsidR="00D97465" w:rsidRPr="00FE5A00">
        <w:rPr>
          <w:color w:val="000000" w:themeColor="text1"/>
        </w:rPr>
        <w:t xml:space="preserve">toimumise </w:t>
      </w:r>
      <w:r w:rsidR="00D97465">
        <w:rPr>
          <w:color w:val="000000" w:themeColor="text1"/>
        </w:rPr>
        <w:t>ajast ja kohast elektrooniliselt vähemalt kümme</w:t>
      </w:r>
      <w:r w:rsidR="00D97465" w:rsidRPr="00FE5A00">
        <w:rPr>
          <w:color w:val="000000" w:themeColor="text1"/>
        </w:rPr>
        <w:t xml:space="preserve"> tööpäeva </w:t>
      </w:r>
      <w:r w:rsidR="00D97465">
        <w:rPr>
          <w:color w:val="000000" w:themeColor="text1"/>
        </w:rPr>
        <w:t>enne tegevuse toimumist</w:t>
      </w:r>
      <w:r w:rsidR="00D97465" w:rsidRPr="00B763C9">
        <w:rPr>
          <w:color w:val="000000" w:themeColor="text1"/>
        </w:rPr>
        <w:t xml:space="preserve"> </w:t>
      </w:r>
      <w:r w:rsidR="00D97465">
        <w:rPr>
          <w:color w:val="000000" w:themeColor="text1"/>
        </w:rPr>
        <w:t>ette teavitama.</w:t>
      </w:r>
      <w:r w:rsidR="000479B0">
        <w:t xml:space="preserve"> </w:t>
      </w:r>
      <w:r w:rsidR="00810768" w:rsidRPr="005047E7">
        <w:rPr>
          <w:color w:val="000000" w:themeColor="text1"/>
        </w:rPr>
        <w:t>Mesindussektori turuteabe andmete kogumine on vajalik ÜPP strateegiakavade hindamise ja seire osas mesindussektori</w:t>
      </w:r>
      <w:r w:rsidR="00346546">
        <w:rPr>
          <w:color w:val="000000" w:themeColor="text1"/>
        </w:rPr>
        <w:t>sse</w:t>
      </w:r>
      <w:r w:rsidR="00810768" w:rsidRPr="005047E7">
        <w:rPr>
          <w:color w:val="000000" w:themeColor="text1"/>
        </w:rPr>
        <w:t xml:space="preserve"> sekkumise </w:t>
      </w:r>
      <w:r w:rsidR="00346546">
        <w:rPr>
          <w:color w:val="000000" w:themeColor="text1"/>
        </w:rPr>
        <w:t xml:space="preserve">meetme </w:t>
      </w:r>
      <w:r w:rsidR="00810768" w:rsidRPr="005047E7">
        <w:rPr>
          <w:color w:val="000000" w:themeColor="text1"/>
        </w:rPr>
        <w:t xml:space="preserve">kohta teabe kogumiseks ja komisjonile esitamiseks. Komisjoni rakendusmäärusega (EL) 2022/1475, milles sätestatakse Euroopa Parlamendi ja nõukogu määruse (EL) 2021/2115 üksikasjalikud rakenduseeskirjad ÜPP strateegiakavade hindamise ning seireks ja hindamiseks teabe esitamise kohta (ELT L 232, 07.09.2022, lk 8–36), nõutavad mesindussektori turuteabe andmed on osaliselt </w:t>
      </w:r>
      <w:r w:rsidR="00810768">
        <w:rPr>
          <w:color w:val="000000" w:themeColor="text1"/>
        </w:rPr>
        <w:t xml:space="preserve">näiteks </w:t>
      </w:r>
      <w:r w:rsidR="00810768" w:rsidRPr="005047E7">
        <w:rPr>
          <w:color w:val="000000" w:themeColor="text1"/>
        </w:rPr>
        <w:t>põllumajandusloomade registrist või Statistikaameti veebilehelt kättesaadavad ja eraldi kogumist ei nõua. Puuduolevaid andmeid</w:t>
      </w:r>
      <w:r w:rsidR="000479B0">
        <w:rPr>
          <w:color w:val="000000" w:themeColor="text1"/>
        </w:rPr>
        <w:t>, mis esitatakse käesoleva paragrahvi järgmise lõikes,</w:t>
      </w:r>
      <w:r w:rsidR="00810768" w:rsidRPr="005047E7">
        <w:rPr>
          <w:color w:val="000000" w:themeColor="text1"/>
        </w:rPr>
        <w:t xml:space="preserve"> hakkab ühe tegevuskavas ettenäht</w:t>
      </w:r>
      <w:r w:rsidR="000479B0">
        <w:rPr>
          <w:color w:val="000000" w:themeColor="text1"/>
        </w:rPr>
        <w:t>ava</w:t>
      </w:r>
      <w:r w:rsidR="00810768" w:rsidRPr="005047E7">
        <w:rPr>
          <w:color w:val="000000" w:themeColor="text1"/>
        </w:rPr>
        <w:t xml:space="preserve"> tegevusena koguma ja PRIA-le esitama mesinduskogu. </w:t>
      </w:r>
      <w:r w:rsidR="00810768">
        <w:rPr>
          <w:color w:val="000000" w:themeColor="text1"/>
        </w:rPr>
        <w:t xml:space="preserve">Komisjonile esitatavate mesindussektori turuteabe andmete loetelu ja kirjeldus kattub mesindusprogrammide rakendamisel komisjonile esitatuga. Erinevalt </w:t>
      </w:r>
      <w:r w:rsidR="002660CA">
        <w:rPr>
          <w:color w:val="000000" w:themeColor="text1"/>
        </w:rPr>
        <w:t xml:space="preserve">aga </w:t>
      </w:r>
      <w:r w:rsidR="00810768">
        <w:rPr>
          <w:color w:val="000000" w:themeColor="text1"/>
        </w:rPr>
        <w:t>mesindussektori</w:t>
      </w:r>
      <w:r w:rsidR="00346546">
        <w:rPr>
          <w:color w:val="000000" w:themeColor="text1"/>
        </w:rPr>
        <w:t>sse</w:t>
      </w:r>
      <w:r w:rsidR="00810768">
        <w:rPr>
          <w:color w:val="000000" w:themeColor="text1"/>
        </w:rPr>
        <w:t xml:space="preserve"> sekkumisest oli mesindusprogrammide puhul EL õigusaktiga sätestatud liikmesriigile kohustus nende andmete kogumiseks eraldi </w:t>
      </w:r>
      <w:r w:rsidR="00810768" w:rsidRPr="00FB5710">
        <w:rPr>
          <w:color w:val="000000" w:themeColor="text1"/>
        </w:rPr>
        <w:t>mesindussektori tootmis-</w:t>
      </w:r>
      <w:r w:rsidR="00810768">
        <w:rPr>
          <w:color w:val="000000" w:themeColor="text1"/>
        </w:rPr>
        <w:t xml:space="preserve"> ja turustusstruktuuri uuringu</w:t>
      </w:r>
      <w:r w:rsidR="007070CB" w:rsidRPr="007070CB">
        <w:t xml:space="preserve"> </w:t>
      </w:r>
      <w:r w:rsidR="007070CB">
        <w:t>korraldamine</w:t>
      </w:r>
      <w:r w:rsidR="002F6E02">
        <w:t>.</w:t>
      </w:r>
    </w:p>
    <w:p w14:paraId="09B81F6D" w14:textId="77777777" w:rsidR="00810768" w:rsidRDefault="00810768" w:rsidP="00021EE1">
      <w:pPr>
        <w:jc w:val="both"/>
      </w:pPr>
    </w:p>
    <w:p w14:paraId="73E934D7" w14:textId="4BEB4DEA" w:rsidR="00021EE1" w:rsidRPr="001348BF" w:rsidRDefault="00810768" w:rsidP="00021EE1">
      <w:pPr>
        <w:jc w:val="both"/>
        <w:rPr>
          <w:color w:val="000000" w:themeColor="text1"/>
        </w:rPr>
      </w:pPr>
      <w:r>
        <w:t xml:space="preserve">Lõikes 8 täpsustatakse </w:t>
      </w:r>
      <w:r w:rsidR="002660CA">
        <w:t xml:space="preserve">eelmise lõike punktis 3 sätestatud mesindussektori turuteabe </w:t>
      </w:r>
      <w:r w:rsidR="00D72106">
        <w:t>kogumist</w:t>
      </w:r>
      <w:r w:rsidR="002660CA">
        <w:t xml:space="preserve"> ja esitamist. </w:t>
      </w:r>
      <w:r w:rsidR="00B15F4E" w:rsidRPr="005047E7">
        <w:t xml:space="preserve">Mesindussektori turuteavet tuleb </w:t>
      </w:r>
      <w:r w:rsidR="00D72106">
        <w:t xml:space="preserve">mesinduskogu poolt </w:t>
      </w:r>
      <w:r w:rsidR="00B15F4E" w:rsidRPr="005047E7">
        <w:t>koguda ja PRIA-le esitada järgmiste andmete kohta:</w:t>
      </w:r>
      <w:r w:rsidR="001348BF" w:rsidRPr="005047E7">
        <w:t xml:space="preserve"> 1</w:t>
      </w:r>
      <w:r w:rsidR="00B15F4E" w:rsidRPr="005047E7">
        <w:t>) mesinike ühendustega liitunud mesinike arv;</w:t>
      </w:r>
      <w:r w:rsidR="001348BF" w:rsidRPr="005047E7">
        <w:t xml:space="preserve"> 2</w:t>
      </w:r>
      <w:r w:rsidR="00B15F4E" w:rsidRPr="005047E7">
        <w:t>) mitmeliigilise õiemee hinnavahemik eurodes tootmiskohas;</w:t>
      </w:r>
      <w:r w:rsidR="001348BF" w:rsidRPr="005047E7">
        <w:t xml:space="preserve"> 3</w:t>
      </w:r>
      <w:r w:rsidR="00B15F4E" w:rsidRPr="005047E7">
        <w:t>) mitmeliigilise lahtise õiemee hinnavahemik eurodes hulgimüügikohas</w:t>
      </w:r>
      <w:r w:rsidR="001348BF" w:rsidRPr="005047E7">
        <w:t>.</w:t>
      </w:r>
      <w:r w:rsidR="00B15F4E" w:rsidRPr="005047E7">
        <w:rPr>
          <w:color w:val="000000" w:themeColor="text1"/>
        </w:rPr>
        <w:t xml:space="preserve"> </w:t>
      </w:r>
      <w:r w:rsidR="00166B20" w:rsidRPr="005047E7">
        <w:rPr>
          <w:color w:val="000000" w:themeColor="text1"/>
        </w:rPr>
        <w:t xml:space="preserve">Komisjoni rakendusmääruse (EL) 2022/1475 kohaselt </w:t>
      </w:r>
      <w:r w:rsidR="00D72106">
        <w:rPr>
          <w:color w:val="000000" w:themeColor="text1"/>
        </w:rPr>
        <w:t>kogutakse</w:t>
      </w:r>
      <w:r w:rsidR="00166B20" w:rsidRPr="005047E7">
        <w:rPr>
          <w:color w:val="000000" w:themeColor="text1"/>
        </w:rPr>
        <w:t xml:space="preserve"> ne</w:t>
      </w:r>
      <w:r w:rsidR="00D72106">
        <w:rPr>
          <w:color w:val="000000" w:themeColor="text1"/>
        </w:rPr>
        <w:t>i</w:t>
      </w:r>
      <w:r w:rsidR="00166B20" w:rsidRPr="005047E7">
        <w:rPr>
          <w:color w:val="000000" w:themeColor="text1"/>
        </w:rPr>
        <w:t>d andme</w:t>
      </w:r>
      <w:r w:rsidR="00D72106">
        <w:rPr>
          <w:color w:val="000000" w:themeColor="text1"/>
        </w:rPr>
        <w:t>i</w:t>
      </w:r>
      <w:r w:rsidR="00166B20" w:rsidRPr="005047E7">
        <w:rPr>
          <w:color w:val="000000" w:themeColor="text1"/>
        </w:rPr>
        <w:t>d alates 2023. a</w:t>
      </w:r>
      <w:r w:rsidR="00D72106">
        <w:rPr>
          <w:color w:val="000000" w:themeColor="text1"/>
        </w:rPr>
        <w:t>astast ning seda</w:t>
      </w:r>
      <w:r w:rsidR="00166B20" w:rsidRPr="005047E7">
        <w:rPr>
          <w:color w:val="000000" w:themeColor="text1"/>
        </w:rPr>
        <w:t xml:space="preserve"> iga kahe aasta järel eelneva kalendriaasta kohta. Mesindussektori turuteabe andmete komisjonile esitamise tähtaegasid arvestades tuleb 2023. aastal esitada andmed PRIA-le hiljemalt 1. septembriks </w:t>
      </w:r>
      <w:r w:rsidR="002660CA">
        <w:rPr>
          <w:color w:val="000000" w:themeColor="text1"/>
        </w:rPr>
        <w:t xml:space="preserve">(vt § 23 lõige 2 rakendussätet) </w:t>
      </w:r>
      <w:r w:rsidR="00166B20" w:rsidRPr="005047E7">
        <w:rPr>
          <w:color w:val="000000" w:themeColor="text1"/>
        </w:rPr>
        <w:t>ning edaspidi kalendriaasta N–1 andmed N aasta 1. juuniks.</w:t>
      </w:r>
    </w:p>
    <w:p w14:paraId="15FA709F" w14:textId="3318E2AD" w:rsidR="00021EE1" w:rsidRPr="00021EE1" w:rsidRDefault="00021EE1" w:rsidP="00D108A9"/>
    <w:p w14:paraId="6DE6F871" w14:textId="2EAA6C38" w:rsidR="00091B48" w:rsidRDefault="00CA135A" w:rsidP="00203811">
      <w:pPr>
        <w:jc w:val="both"/>
      </w:pPr>
      <w:r w:rsidRPr="00CA135A">
        <w:rPr>
          <w:b/>
        </w:rPr>
        <w:lastRenderedPageBreak/>
        <w:t xml:space="preserve">Eelnõu §-ga </w:t>
      </w:r>
      <w:r w:rsidR="002660CA">
        <w:rPr>
          <w:b/>
        </w:rPr>
        <w:t>6</w:t>
      </w:r>
      <w:r>
        <w:t xml:space="preserve"> sätestatakse</w:t>
      </w:r>
      <w:r w:rsidR="006608CA">
        <w:t xml:space="preserve"> </w:t>
      </w:r>
      <w:r w:rsidR="003E2312" w:rsidRPr="003E2312">
        <w:t>mesindussektori</w:t>
      </w:r>
      <w:r w:rsidR="00346546">
        <w:t>sse</w:t>
      </w:r>
      <w:r w:rsidR="003E2312" w:rsidRPr="003E2312">
        <w:t xml:space="preserve"> sekku</w:t>
      </w:r>
      <w:r w:rsidR="003E2312">
        <w:t>mise eesmärgi saavutamiseks rake</w:t>
      </w:r>
      <w:r w:rsidR="003E2312" w:rsidRPr="003E2312">
        <w:t xml:space="preserve">ndatavate tegevuste </w:t>
      </w:r>
      <w:r w:rsidR="003E2312">
        <w:t xml:space="preserve">seotud </w:t>
      </w:r>
      <w:r w:rsidR="006608CA">
        <w:t>abikõlblikud ja mitteabikõlblikud kulud.</w:t>
      </w:r>
    </w:p>
    <w:p w14:paraId="50D603F5" w14:textId="77777777" w:rsidR="006608CA" w:rsidRDefault="006608CA" w:rsidP="00203811">
      <w:pPr>
        <w:jc w:val="both"/>
      </w:pPr>
    </w:p>
    <w:p w14:paraId="3D62A00D" w14:textId="11342CEB" w:rsidR="006608CA" w:rsidRDefault="00222C98" w:rsidP="00203811">
      <w:pPr>
        <w:jc w:val="both"/>
      </w:pPr>
      <w:r>
        <w:t xml:space="preserve">Lõikes 1 </w:t>
      </w:r>
      <w:r w:rsidR="003E2312">
        <w:t xml:space="preserve">loetletakse abikõlblikud kulud. Komisjoni delegeeritud määruse (EL) </w:t>
      </w:r>
      <w:r w:rsidR="006258EF" w:rsidRPr="006258EF">
        <w:t>2022/126</w:t>
      </w:r>
      <w:r w:rsidR="003E2312" w:rsidRPr="006258EF">
        <w:t xml:space="preserve"> III lisa põhjal on abikõlblikud näiteks </w:t>
      </w:r>
      <w:r w:rsidR="003A1388" w:rsidRPr="006258EF">
        <w:t>mesindussektori</w:t>
      </w:r>
      <w:r w:rsidR="00346546">
        <w:t>sse</w:t>
      </w:r>
      <w:r w:rsidR="003A1388" w:rsidRPr="006258EF">
        <w:t xml:space="preserve"> sekkumise rakendamisega se</w:t>
      </w:r>
      <w:r w:rsidR="009B4057">
        <w:t xml:space="preserve">otud haldus- ja personalikulud ning </w:t>
      </w:r>
      <w:r w:rsidR="003A1388" w:rsidRPr="006258EF">
        <w:t>veterinaar</w:t>
      </w:r>
      <w:r w:rsidR="00541A67">
        <w:t>ravimid</w:t>
      </w:r>
      <w:r w:rsidR="003A1388" w:rsidRPr="006258EF">
        <w:t xml:space="preserve"> kahjurite ja mesila</w:t>
      </w:r>
      <w:r w:rsidR="009B4057">
        <w:t>shaiguste tõrjeks</w:t>
      </w:r>
      <w:r w:rsidR="00137B17">
        <w:t>.</w:t>
      </w:r>
      <w:r w:rsidR="00373BCD">
        <w:t xml:space="preserve"> </w:t>
      </w:r>
      <w:r w:rsidR="003A1388">
        <w:t xml:space="preserve">Sama </w:t>
      </w:r>
      <w:r w:rsidR="00541A67">
        <w:t xml:space="preserve">komisjoni </w:t>
      </w:r>
      <w:r w:rsidR="003A1388">
        <w:t xml:space="preserve">määruse artikli 22 </w:t>
      </w:r>
      <w:r w:rsidR="00733FFA">
        <w:t xml:space="preserve">lõike 3 kohaselt </w:t>
      </w:r>
      <w:r w:rsidR="00596AFC">
        <w:t xml:space="preserve">võivad liikmesriigid oma ÜPP strateegiakavades käsitada rahastamiskõlblikena ka muid kululiike, tingimusel et need ei ole loetletud </w:t>
      </w:r>
      <w:r w:rsidR="00D033A9">
        <w:t xml:space="preserve">sama määruse </w:t>
      </w:r>
      <w:r w:rsidR="00596AFC">
        <w:t>II lisas mitteabikõlblike kulude nimekirjas</w:t>
      </w:r>
      <w:r w:rsidR="00733FFA">
        <w:t xml:space="preserve">. </w:t>
      </w:r>
      <w:r w:rsidR="00D033A9">
        <w:t xml:space="preserve">Arvestades ÜPP strateegiakava </w:t>
      </w:r>
      <w:r w:rsidR="00D033A9" w:rsidRPr="003C7309">
        <w:t>ettevalmistamisel</w:t>
      </w:r>
      <w:r w:rsidR="00D033A9">
        <w:t xml:space="preserve"> </w:t>
      </w:r>
      <w:r w:rsidR="00D033A9" w:rsidRPr="003C7309">
        <w:t>mesindus</w:t>
      </w:r>
      <w:r w:rsidR="00D033A9">
        <w:t>sektori esindus</w:t>
      </w:r>
      <w:r w:rsidR="00D033A9" w:rsidRPr="003C7309">
        <w:t>organis</w:t>
      </w:r>
      <w:r w:rsidR="00D033A9">
        <w:t>atsioonide esitatud ettepanekuid mesindussektori</w:t>
      </w:r>
      <w:r w:rsidR="00346546">
        <w:t>sse</w:t>
      </w:r>
      <w:r w:rsidR="00D033A9">
        <w:t xml:space="preserve"> sekkumis</w:t>
      </w:r>
      <w:r w:rsidR="00346546">
        <w:t xml:space="preserve">e </w:t>
      </w:r>
      <w:r w:rsidR="00D033A9">
        <w:t>viiside ja nende raames ettenähtavate võimalike tegevuste osas sätestatakse abikõlblike kuludena lisaks komisjoni delegeeritud määruse (EL) 2022/126 III lisa</w:t>
      </w:r>
      <w:r w:rsidR="00CD7367">
        <w:t xml:space="preserve">s loetletud kuludele </w:t>
      </w:r>
      <w:r w:rsidR="00D033A9">
        <w:t xml:space="preserve">järgmised kulud: </w:t>
      </w:r>
      <w:r w:rsidR="00CD7367">
        <w:t>teabe- või õppematerjali koostamise, kujundamise, tõlkimise, trükkimise ja välja</w:t>
      </w:r>
      <w:r w:rsidR="000C4455">
        <w:t>and</w:t>
      </w:r>
      <w:r w:rsidR="00CD7367">
        <w:t>misega seotud kulud, sealhulgas elektroonilise väljaande haldamiskulud;</w:t>
      </w:r>
      <w:r w:rsidR="00CD7367" w:rsidRPr="00CD7367">
        <w:t xml:space="preserve"> </w:t>
      </w:r>
      <w:r w:rsidR="000C4455" w:rsidRPr="002C2F22">
        <w:t xml:space="preserve">usaldusmesiniku poolt </w:t>
      </w:r>
      <w:r w:rsidR="000C4455">
        <w:t xml:space="preserve">nõustamisteenuse osutamisega seotud kulud, sealhulgas </w:t>
      </w:r>
      <w:r w:rsidR="000C4455" w:rsidRPr="002C2F22">
        <w:t>mesiniku juures koha</w:t>
      </w:r>
      <w:r w:rsidR="000C4455">
        <w:t>peal nõustamisteenuse osutamiseks tehtava visiidiga seotud</w:t>
      </w:r>
      <w:r w:rsidR="000C4455" w:rsidRPr="006215B4">
        <w:t xml:space="preserve"> sõidukulu</w:t>
      </w:r>
      <w:r w:rsidR="000C4455" w:rsidRPr="00CD7367">
        <w:t xml:space="preserve"> </w:t>
      </w:r>
      <w:r w:rsidR="00CD7367" w:rsidRPr="00CD7367">
        <w:t xml:space="preserve">usaldusmesiniku poolt </w:t>
      </w:r>
      <w:r w:rsidR="000C4455">
        <w:t xml:space="preserve">nõustamisteenuse osutamisega seotud kulud, sealhulgas </w:t>
      </w:r>
      <w:r w:rsidR="00CD7367" w:rsidRPr="00CD7367">
        <w:t>mesiniku juures kohapeal nõustamisteenuse osutamiseks tehtava visiidi</w:t>
      </w:r>
      <w:r w:rsidR="000C4455">
        <w:t>ga seotud</w:t>
      </w:r>
      <w:r w:rsidR="00CD7367">
        <w:t xml:space="preserve"> sõidukulu; teabe- ja õppepäeva, kursuse ning mett ja meetooteid tutvustava ürituse või kampaania korraldamisega seotud kulud, sealhulgas ruumide ja tehnika üür, lektori loengu tasu, tõlke-, toitlustus- ja sõidukulud ning meediakanalis teabe avaldamise kulud;</w:t>
      </w:r>
      <w:r w:rsidR="00D033A9">
        <w:t xml:space="preserve"> </w:t>
      </w:r>
      <w:r w:rsidR="00CD7367">
        <w:t>välisriigis toimuval üritusel</w:t>
      </w:r>
      <w:r w:rsidR="00226E18">
        <w:t xml:space="preserve"> (</w:t>
      </w:r>
      <w:r w:rsidR="00A63BA4">
        <w:t>rahvusvahelised mesinduse teemalised konverentsid ja n</w:t>
      </w:r>
      <w:r w:rsidR="006153F9">
        <w:t>õupidamised ning</w:t>
      </w:r>
      <w:r w:rsidR="00A63BA4">
        <w:t xml:space="preserve"> </w:t>
      </w:r>
      <w:r w:rsidR="0007253F">
        <w:t xml:space="preserve">rahvusvaheliste </w:t>
      </w:r>
      <w:r w:rsidR="00A63BA4">
        <w:t xml:space="preserve">mesindusorganisatsioonide </w:t>
      </w:r>
      <w:r w:rsidR="00524550">
        <w:t>kohtumised</w:t>
      </w:r>
      <w:r w:rsidR="00226E18">
        <w:t>)</w:t>
      </w:r>
      <w:r w:rsidR="00CD7367">
        <w:t xml:space="preserve"> osalemisega seotud osalemistasu ning sõidu- ja majutuskulud</w:t>
      </w:r>
      <w:r w:rsidR="009A68C6">
        <w:t>; mesilashaiguste seir</w:t>
      </w:r>
      <w:r w:rsidR="00CD7367">
        <w:t xml:space="preserve">e, ennetamise ja tõrje </w:t>
      </w:r>
      <w:r w:rsidR="00541A67">
        <w:t xml:space="preserve">ning kahjurite tõrje </w:t>
      </w:r>
      <w:r w:rsidR="00CD7367">
        <w:t xml:space="preserve">vahendite </w:t>
      </w:r>
      <w:r w:rsidR="00541A67">
        <w:t xml:space="preserve">(v. a veterinaarravimid) </w:t>
      </w:r>
      <w:r w:rsidR="00CD7367">
        <w:t>ostukulud; mesilashaiguste ja mesilastele</w:t>
      </w:r>
      <w:r w:rsidR="00CD7367" w:rsidRPr="00F11CEB">
        <w:t xml:space="preserve"> kahjuli</w:t>
      </w:r>
      <w:r w:rsidR="00CD7367">
        <w:t xml:space="preserve">ke ainete analüüsimisel </w:t>
      </w:r>
      <w:r w:rsidR="00CD7367" w:rsidRPr="00F11CEB">
        <w:t>proovide võtmise ja analüüside tegemise kulud</w:t>
      </w:r>
      <w:r w:rsidR="00CD7367">
        <w:t>; t</w:t>
      </w:r>
      <w:r w:rsidR="00CD7367" w:rsidRPr="004F2D0B">
        <w:t>eadusasutustega</w:t>
      </w:r>
      <w:r w:rsidR="00CD7367">
        <w:t xml:space="preserve"> tehtava koostöö puhul</w:t>
      </w:r>
      <w:r w:rsidR="00CD7367" w:rsidRPr="004F2D0B">
        <w:t xml:space="preserve"> teadusu</w:t>
      </w:r>
      <w:r w:rsidR="00CD7367">
        <w:t>uringu läbiviimisega seotud kulud;</w:t>
      </w:r>
      <w:r w:rsidR="00CD7367" w:rsidRPr="00CD7367">
        <w:t xml:space="preserve"> </w:t>
      </w:r>
      <w:r w:rsidR="00CD7367">
        <w:t>struktuuri- ja turu-uuringu läbiviimisega seotud kulud</w:t>
      </w:r>
      <w:r w:rsidR="00D033A9">
        <w:t>.</w:t>
      </w:r>
    </w:p>
    <w:p w14:paraId="3C42ADBB" w14:textId="77777777" w:rsidR="005A71A2" w:rsidRDefault="005A71A2" w:rsidP="00203811">
      <w:pPr>
        <w:jc w:val="both"/>
      </w:pPr>
    </w:p>
    <w:p w14:paraId="650FBFAA" w14:textId="43A89983" w:rsidR="005A71A2" w:rsidRDefault="005A71A2" w:rsidP="00203811">
      <w:pPr>
        <w:jc w:val="both"/>
        <w:rPr>
          <w:color w:val="000000" w:themeColor="text1"/>
        </w:rPr>
      </w:pPr>
      <w:r>
        <w:t xml:space="preserve">Lõigetes </w:t>
      </w:r>
      <w:r w:rsidR="000C4455">
        <w:t>2</w:t>
      </w:r>
      <w:r>
        <w:t xml:space="preserve"> ja </w:t>
      </w:r>
      <w:r w:rsidR="000C4455">
        <w:t>3</w:t>
      </w:r>
      <w:r>
        <w:t xml:space="preserve"> </w:t>
      </w:r>
      <w:r w:rsidR="00586399">
        <w:t>sätestatakse</w:t>
      </w:r>
      <w:r w:rsidR="00F94BD6">
        <w:t xml:space="preserve"> </w:t>
      </w:r>
      <w:r w:rsidR="005E4B83">
        <w:t>sõiduauto kasutamise kulude ja välislähetuse kulude korral nende abikõlblikkuse ja tõendavate dokumentide käsitlemise ühtluse ja selguse huvides</w:t>
      </w:r>
      <w:r w:rsidR="00F94BD6">
        <w:t xml:space="preserve"> </w:t>
      </w:r>
      <w:r w:rsidR="005E4B83">
        <w:t xml:space="preserve">lähtumine </w:t>
      </w:r>
      <w:r w:rsidR="00F94BD6">
        <w:t>konkreetsetest Vabariigi Valitsuse määrustest. I</w:t>
      </w:r>
      <w:r w:rsidR="00586399">
        <w:t xml:space="preserve">sikliku sõiduauto kasutamise korral arvestatakse sõiduauto kasutamise kulud </w:t>
      </w:r>
      <w:r w:rsidR="00586399" w:rsidRPr="00FE5A00">
        <w:rPr>
          <w:color w:val="000000" w:themeColor="text1"/>
        </w:rPr>
        <w:t xml:space="preserve">Vabariigi Valitsuse 14. juuli 2006. a määruse nr 164 „Teenistus-, töö- </w:t>
      </w:r>
      <w:r w:rsidR="00586399">
        <w:rPr>
          <w:color w:val="000000" w:themeColor="text1"/>
        </w:rPr>
        <w:t>või</w:t>
      </w:r>
      <w:r w:rsidR="00586399" w:rsidRPr="00FE5A00">
        <w:rPr>
          <w:color w:val="000000" w:themeColor="text1"/>
        </w:rPr>
        <w:t xml:space="preserve"> ametiülesannete täitmisel isikliku sõiduauto kasutamise kohta arvestuse pidamise ja hüvitise maksmise kord“ </w:t>
      </w:r>
      <w:r w:rsidR="00586399">
        <w:rPr>
          <w:color w:val="000000" w:themeColor="text1"/>
        </w:rPr>
        <w:t>§-de 4 ja 5 kohaselt</w:t>
      </w:r>
      <w:r w:rsidR="00F94BD6">
        <w:rPr>
          <w:color w:val="000000" w:themeColor="text1"/>
        </w:rPr>
        <w:t xml:space="preserve"> ning v</w:t>
      </w:r>
      <w:r w:rsidR="00F94BD6" w:rsidRPr="00FE5A00">
        <w:rPr>
          <w:color w:val="000000" w:themeColor="text1"/>
        </w:rPr>
        <w:t xml:space="preserve">älisriigis toimuvate ürituste korral </w:t>
      </w:r>
      <w:r w:rsidR="00F94BD6">
        <w:rPr>
          <w:color w:val="000000" w:themeColor="text1"/>
        </w:rPr>
        <w:t xml:space="preserve">toimub </w:t>
      </w:r>
      <w:r w:rsidR="00F94BD6" w:rsidRPr="00FE5A00">
        <w:rPr>
          <w:color w:val="000000" w:themeColor="text1"/>
        </w:rPr>
        <w:t>lähetuse kulude hüvitamine Vabariigi Valitsuse 25. juuni 2009. a määruse nr 110 „Töölähetuse kulude hüvitiste maksmise kord ning välislähetuse päevaraha alammäär, maksmise tingimused</w:t>
      </w:r>
      <w:r w:rsidR="00F94BD6">
        <w:rPr>
          <w:color w:val="000000" w:themeColor="text1"/>
        </w:rPr>
        <w:t xml:space="preserve"> ja kord” kohaselt.</w:t>
      </w:r>
    </w:p>
    <w:p w14:paraId="2838C9B5" w14:textId="77777777" w:rsidR="00586399" w:rsidRDefault="00586399" w:rsidP="00203811">
      <w:pPr>
        <w:jc w:val="both"/>
        <w:rPr>
          <w:color w:val="000000" w:themeColor="text1"/>
        </w:rPr>
      </w:pPr>
    </w:p>
    <w:p w14:paraId="259EDC47" w14:textId="57737CBE" w:rsidR="006608CA" w:rsidRDefault="006608CA" w:rsidP="00203811">
      <w:pPr>
        <w:jc w:val="both"/>
      </w:pPr>
      <w:r>
        <w:t xml:space="preserve">Lõike </w:t>
      </w:r>
      <w:r w:rsidR="000C4455">
        <w:t>4</w:t>
      </w:r>
      <w:r>
        <w:t xml:space="preserve"> </w:t>
      </w:r>
      <w:r w:rsidRPr="006608CA">
        <w:t xml:space="preserve">kohaselt peavad kõik abikõlblikud kulud olema mõistlikud, </w:t>
      </w:r>
      <w:r w:rsidR="00883088">
        <w:t xml:space="preserve">põhjendatud, </w:t>
      </w:r>
      <w:r w:rsidRPr="006608CA">
        <w:t>selged ja üksikasja</w:t>
      </w:r>
      <w:r>
        <w:t>likult kirjeldatud ning mesinduskogu</w:t>
      </w:r>
      <w:r w:rsidRPr="006608CA">
        <w:t xml:space="preserve"> peab tagama kasutatava toetusraha otstarbeka ja säästliku kasutamise. Kulud, mille kohta toetust taotletakse, peavad olema majanduslikult </w:t>
      </w:r>
      <w:r>
        <w:t>otstarbekad ja vajalikud mesindussektori</w:t>
      </w:r>
      <w:r w:rsidR="00346546">
        <w:t>sse</w:t>
      </w:r>
      <w:r>
        <w:t xml:space="preserve"> sekkumise</w:t>
      </w:r>
      <w:r w:rsidRPr="006608CA">
        <w:t xml:space="preserve"> eesmärgi saavutamiseks. Samuti ei tohi kavandatavad ning tehtud kulud olla põhjendamatult kõrged võrreldes tavaliselt sarnase tegevuse eest tasutava hinnaga.</w:t>
      </w:r>
    </w:p>
    <w:p w14:paraId="5A755A1F" w14:textId="77777777" w:rsidR="006608CA" w:rsidRDefault="006608CA" w:rsidP="00203811">
      <w:pPr>
        <w:jc w:val="both"/>
      </w:pPr>
    </w:p>
    <w:p w14:paraId="630F384B" w14:textId="1206DDE0" w:rsidR="00ED595E" w:rsidRPr="00883088" w:rsidRDefault="006608CA" w:rsidP="00883088">
      <w:pPr>
        <w:jc w:val="both"/>
        <w:rPr>
          <w:color w:val="000000" w:themeColor="text1"/>
        </w:rPr>
      </w:pPr>
      <w:r>
        <w:t xml:space="preserve">Lõikes </w:t>
      </w:r>
      <w:r w:rsidR="00883088">
        <w:t>5</w:t>
      </w:r>
      <w:r>
        <w:t xml:space="preserve"> sätestatakse mitteabikõlblikud kulud. </w:t>
      </w:r>
      <w:r w:rsidR="00EB4455">
        <w:t xml:space="preserve">Lisaks komisjoni delegeeritud määruse (EL) 2022/126 artikli 22 lõikes 1 ja II lisa I osas sätestatud </w:t>
      </w:r>
      <w:r w:rsidR="00FD7D9B">
        <w:t xml:space="preserve">mitteabikõlblikele </w:t>
      </w:r>
      <w:r w:rsidR="00EB4455">
        <w:t>kuludele (käibemaks, üldised tootmiskulud, kogumis- ja veokulud, säilitamiskulud, pakendamiskulud, tegevuskulud (eelkõige elekter, kütus ja tehniline hooldus), mesindussektori</w:t>
      </w:r>
      <w:r w:rsidR="00346546">
        <w:t>sse</w:t>
      </w:r>
      <w:r w:rsidR="00EB4455">
        <w:t xml:space="preserve"> sekkumise rakendamiseks võetud laenude tagasimaksed, </w:t>
      </w:r>
      <w:r w:rsidR="00FD7D9B">
        <w:t xml:space="preserve">investeeringud transpordivahenditesse, renditud kaupade kasutamisel tekkinud kulud, liisingulepingutega seotud väljamaksed (maksud, intressid, kindlustuskulud jne) ja kasutuskulud, jne) on mitteabikõlblikud ka näiteks kõik kulud, mis on tehtud enne </w:t>
      </w:r>
      <w:r w:rsidR="00FD7D9B" w:rsidRPr="00466D78">
        <w:t xml:space="preserve">tegevuskava </w:t>
      </w:r>
      <w:r w:rsidR="00FD7D9B">
        <w:t xml:space="preserve">esitamisele järgnevat päeva või on tehtud tegevuskava rakendamise peatamise ajal või </w:t>
      </w:r>
      <w:r w:rsidR="003E2312">
        <w:t xml:space="preserve">mis </w:t>
      </w:r>
      <w:r w:rsidR="00FD7D9B">
        <w:t>ületavad ELÜPS § 11 lõike 3 alusel maaeluministri käskkirjaga mesindussektori</w:t>
      </w:r>
      <w:r w:rsidR="00346546">
        <w:t>sse</w:t>
      </w:r>
      <w:r w:rsidR="00FD7D9B">
        <w:t xml:space="preserve"> sekkumis</w:t>
      </w:r>
      <w:r w:rsidR="00346546">
        <w:t xml:space="preserve">e </w:t>
      </w:r>
      <w:r w:rsidR="00FD7D9B">
        <w:t>viisi kohta otsustatud toetuse rahaliste vahendite summat</w:t>
      </w:r>
      <w:r w:rsidR="00ED595E">
        <w:t xml:space="preserve">. Samuti </w:t>
      </w:r>
      <w:r w:rsidR="00ED595E">
        <w:lastRenderedPageBreak/>
        <w:t>ei ole abikõlblikud</w:t>
      </w:r>
      <w:r w:rsidR="00FD7D9B">
        <w:t xml:space="preserve"> </w:t>
      </w:r>
      <w:r w:rsidR="00ED595E">
        <w:t xml:space="preserve">tagatismaksed, </w:t>
      </w:r>
      <w:r w:rsidR="00ED595E" w:rsidRPr="00C774CC">
        <w:rPr>
          <w:color w:val="000000" w:themeColor="text1"/>
        </w:rPr>
        <w:t xml:space="preserve">ettevõtjat </w:t>
      </w:r>
      <w:r w:rsidR="006153F9">
        <w:rPr>
          <w:color w:val="000000" w:themeColor="text1"/>
        </w:rPr>
        <w:t xml:space="preserve">(juriidiline vorm ei oma tähtsust) </w:t>
      </w:r>
      <w:r w:rsidR="00ED595E" w:rsidRPr="00C774CC">
        <w:rPr>
          <w:color w:val="000000" w:themeColor="text1"/>
        </w:rPr>
        <w:t>või kaubamärki reklaamiva teavitus- või turustuskampaania kulud</w:t>
      </w:r>
      <w:r w:rsidR="00883088">
        <w:rPr>
          <w:color w:val="000000" w:themeColor="text1"/>
        </w:rPr>
        <w:t>,</w:t>
      </w:r>
      <w:r w:rsidR="00E64292">
        <w:rPr>
          <w:color w:val="000000" w:themeColor="text1"/>
        </w:rPr>
        <w:t xml:space="preserve"> </w:t>
      </w:r>
      <w:r w:rsidR="00ED595E">
        <w:rPr>
          <w:color w:val="000000" w:themeColor="text1"/>
        </w:rPr>
        <w:t>õigusabikulud</w:t>
      </w:r>
      <w:r w:rsidR="00883088">
        <w:rPr>
          <w:color w:val="000000" w:themeColor="text1"/>
        </w:rPr>
        <w:t xml:space="preserve"> ning </w:t>
      </w:r>
      <w:r w:rsidR="00883088" w:rsidRPr="003E5BD0">
        <w:rPr>
          <w:color w:val="000000" w:themeColor="text1"/>
        </w:rPr>
        <w:t>tulumaksuseaduse § 8 tähenduses seotud isikute vahel sõlmitud tehinguga kaasnev kulu</w:t>
      </w:r>
      <w:r w:rsidR="00E64292">
        <w:rPr>
          <w:color w:val="000000" w:themeColor="text1"/>
        </w:rPr>
        <w:t>.</w:t>
      </w:r>
      <w:r w:rsidR="00ED595E">
        <w:rPr>
          <w:color w:val="000000" w:themeColor="text1"/>
        </w:rPr>
        <w:t xml:space="preserve"> </w:t>
      </w:r>
    </w:p>
    <w:p w14:paraId="52D001CA" w14:textId="77777777" w:rsidR="00CA135A" w:rsidRDefault="00CA135A" w:rsidP="00203811">
      <w:pPr>
        <w:jc w:val="both"/>
      </w:pPr>
    </w:p>
    <w:p w14:paraId="691A4F5A" w14:textId="5E014496" w:rsidR="00D125E5" w:rsidRDefault="00CA135A" w:rsidP="00203811">
      <w:pPr>
        <w:jc w:val="both"/>
      </w:pPr>
      <w:r w:rsidRPr="000A09E9">
        <w:rPr>
          <w:b/>
        </w:rPr>
        <w:t xml:space="preserve">Eelnõu §-ga </w:t>
      </w:r>
      <w:r w:rsidR="00624287">
        <w:rPr>
          <w:b/>
        </w:rPr>
        <w:t>7</w:t>
      </w:r>
      <w:r w:rsidRPr="000A09E9">
        <w:t xml:space="preserve"> sätestatakse</w:t>
      </w:r>
      <w:r w:rsidR="00455937" w:rsidRPr="000A09E9">
        <w:t xml:space="preserve"> </w:t>
      </w:r>
      <w:r w:rsidR="000A09E9" w:rsidRPr="000A09E9">
        <w:t>toetuse määr ja suurus.</w:t>
      </w:r>
    </w:p>
    <w:p w14:paraId="31632183" w14:textId="77777777" w:rsidR="00D125E5" w:rsidRPr="000A09E9" w:rsidRDefault="00D125E5" w:rsidP="00203811">
      <w:pPr>
        <w:jc w:val="both"/>
      </w:pPr>
    </w:p>
    <w:p w14:paraId="00FBBE65" w14:textId="09B9BE7A" w:rsidR="00E64292" w:rsidRDefault="000A09E9" w:rsidP="00203811">
      <w:pPr>
        <w:jc w:val="both"/>
      </w:pPr>
      <w:r w:rsidRPr="000A09E9">
        <w:t>Lõike</w:t>
      </w:r>
      <w:r w:rsidR="002B382F">
        <w:t>ga 1 sätestatakse, et toetust antakse kuni 100% tegevuskava tegevuste abikõlblikest kuludest. Omaosalust ei nähta ette</w:t>
      </w:r>
      <w:r w:rsidR="009B7859">
        <w:t>, sest</w:t>
      </w:r>
      <w:r w:rsidR="002B382F">
        <w:t xml:space="preserve"> </w:t>
      </w:r>
      <w:r w:rsidR="004325FD">
        <w:t>mesindussektori</w:t>
      </w:r>
      <w:r w:rsidR="00346546">
        <w:t>sse</w:t>
      </w:r>
      <w:r w:rsidR="004325FD">
        <w:t xml:space="preserve"> sekkumise eesmärgi saavutamiseks mesindussektori isikute ühendustest moodustatud mesinduskogule toetuse andmisega toetatakse sektori arendamist laiemalt. </w:t>
      </w:r>
    </w:p>
    <w:p w14:paraId="41352A31" w14:textId="2FA082C7" w:rsidR="002145BE" w:rsidRDefault="002145BE" w:rsidP="00203811">
      <w:pPr>
        <w:jc w:val="both"/>
      </w:pPr>
    </w:p>
    <w:p w14:paraId="3BC5D220" w14:textId="55513A2F" w:rsidR="002145BE" w:rsidRPr="000A09E9" w:rsidRDefault="002145BE" w:rsidP="00203811">
      <w:pPr>
        <w:jc w:val="both"/>
      </w:pPr>
      <w:r>
        <w:t xml:space="preserve">Lõikega 2 </w:t>
      </w:r>
      <w:r w:rsidR="00F91919">
        <w:t xml:space="preserve">täpsustatakse määruse </w:t>
      </w:r>
      <w:r w:rsidR="00F101CA">
        <w:t>§ 4 lõike 3 punktis 1 nimetatud</w:t>
      </w:r>
      <w:r w:rsidR="00F91919">
        <w:t xml:space="preserve"> sekkumisviisiga ettenähtud </w:t>
      </w:r>
      <w:r w:rsidR="00F62CF3">
        <w:t>tegevuste hulgas sisalduva</w:t>
      </w:r>
      <w:r w:rsidR="00863E79">
        <w:t xml:space="preserve"> </w:t>
      </w:r>
      <w:r w:rsidR="009C18DB">
        <w:t xml:space="preserve">tehnilise abi suurust. </w:t>
      </w:r>
      <w:r w:rsidR="00B16C83">
        <w:t xml:space="preserve">Tehniline abi hõlmab endas </w:t>
      </w:r>
      <w:r w:rsidR="00B16C83" w:rsidRPr="00B16C83">
        <w:t>tegevuskava rakendamisega seotud abikõlblike haldus-</w:t>
      </w:r>
      <w:r w:rsidR="00B16C83">
        <w:t xml:space="preserve"> ja personalikulude </w:t>
      </w:r>
      <w:r w:rsidR="00ED5A71">
        <w:t>(</w:t>
      </w:r>
      <w:r w:rsidR="00ED5A71" w:rsidRPr="00ED5A71">
        <w:t>sh tööjõu-, transpordi-, side-, raamatupidamis-</w:t>
      </w:r>
      <w:r w:rsidR="00ED5A71">
        <w:t>,</w:t>
      </w:r>
      <w:r w:rsidR="00ED5A71" w:rsidRPr="00ED5A71">
        <w:t xml:space="preserve"> lähetus- jne kulud) </w:t>
      </w:r>
      <w:r w:rsidR="00B16C83">
        <w:t>hüvitamist.</w:t>
      </w:r>
      <w:r w:rsidR="00B16C83" w:rsidRPr="00B16C83">
        <w:t xml:space="preserve"> </w:t>
      </w:r>
      <w:r w:rsidR="009C18DB">
        <w:t xml:space="preserve">ELÜPS § 11 lõike 3 alusel </w:t>
      </w:r>
      <w:r w:rsidR="00B16C83">
        <w:t xml:space="preserve">maaeluministri käskkirjaga </w:t>
      </w:r>
      <w:r w:rsidR="00863E79">
        <w:t>antud</w:t>
      </w:r>
      <w:r w:rsidR="00F42FC4">
        <w:t xml:space="preserve"> sekkumisviisi </w:t>
      </w:r>
      <w:r w:rsidR="00863E79">
        <w:t xml:space="preserve">kõikide tegevuste </w:t>
      </w:r>
      <w:r w:rsidR="00B16C83">
        <w:t>abikõlblike kulude</w:t>
      </w:r>
      <w:r w:rsidR="00863E79">
        <w:t xml:space="preserve"> finantseerimiseks sätestatud </w:t>
      </w:r>
      <w:r w:rsidR="00B16C83">
        <w:t xml:space="preserve">kogusummast võib tehnilise abina kasutada maksimaalselt 40 000 eurot eelarveaasta kohta. </w:t>
      </w:r>
      <w:r w:rsidR="001E3123">
        <w:t>Tehnilise abi suurus sellise</w:t>
      </w:r>
      <w:r w:rsidR="00B16C83">
        <w:t xml:space="preserve">s summas </w:t>
      </w:r>
      <w:r w:rsidR="001E3123">
        <w:t xml:space="preserve">sisaldub ka komisjoni heakskiidetud ÜPP strateegiakavas ning see </w:t>
      </w:r>
      <w:r w:rsidR="001E3123" w:rsidRPr="001E3123">
        <w:t>tugine</w:t>
      </w:r>
      <w:r w:rsidR="001E3123">
        <w:t xml:space="preserve">b </w:t>
      </w:r>
      <w:r w:rsidR="001E3123" w:rsidRPr="001E3123">
        <w:t>eelmistel EL-i eelarveperioodidel mesindussektori</w:t>
      </w:r>
      <w:r w:rsidR="00346546">
        <w:t>sse</w:t>
      </w:r>
      <w:r w:rsidR="001E3123" w:rsidRPr="001E3123">
        <w:t xml:space="preserve"> sekkumisega samalaadse mesindusprogrammi toetusmeetme rakendamisel saadud kogemustele ja mesindusprogrammide rakendamist juhtinud või rakendamisel os</w:t>
      </w:r>
      <w:r w:rsidR="001E3123">
        <w:t>alenud mesindussektori esindusorganisatsioonide</w:t>
      </w:r>
      <w:r w:rsidR="001E3123" w:rsidRPr="001E3123">
        <w:t xml:space="preserve"> esindajate ühisele eks</w:t>
      </w:r>
      <w:r w:rsidR="001E3123">
        <w:t>perthinnangule, arvestades ÜPP strateegiakavade</w:t>
      </w:r>
      <w:r w:rsidR="001E3123" w:rsidRPr="001E3123">
        <w:t xml:space="preserve"> määruses mesindussektori</w:t>
      </w:r>
      <w:r w:rsidR="00346546">
        <w:t>sse</w:t>
      </w:r>
      <w:r w:rsidR="001E3123" w:rsidRPr="001E3123">
        <w:t xml:space="preserve"> sekkumise osas </w:t>
      </w:r>
      <w:r w:rsidR="001E3123">
        <w:t xml:space="preserve">Eesti kohta </w:t>
      </w:r>
      <w:r w:rsidR="001E3123" w:rsidRPr="001E3123">
        <w:t>sätestatud eelarvelisi võimalusi.</w:t>
      </w:r>
    </w:p>
    <w:p w14:paraId="79B9C597" w14:textId="77777777" w:rsidR="00E64292" w:rsidRPr="00B52459" w:rsidRDefault="00E64292" w:rsidP="00203811">
      <w:pPr>
        <w:jc w:val="both"/>
      </w:pPr>
    </w:p>
    <w:p w14:paraId="64A45827" w14:textId="3C755C55" w:rsidR="00A6718B" w:rsidRDefault="003A1893" w:rsidP="00804772">
      <w:pPr>
        <w:jc w:val="both"/>
      </w:pPr>
      <w:r>
        <w:t>Lõige</w:t>
      </w:r>
      <w:r w:rsidR="00F62CF3">
        <w:t xml:space="preserve"> 3 </w:t>
      </w:r>
      <w:r>
        <w:t>käsitleb</w:t>
      </w:r>
      <w:r w:rsidR="00E2152A">
        <w:t xml:space="preserve"> </w:t>
      </w:r>
      <w:r w:rsidR="00881CD0">
        <w:t xml:space="preserve">lõikes 2 sätestatud </w:t>
      </w:r>
      <w:r w:rsidR="0062180E">
        <w:t>tehnilise abi rahaliste</w:t>
      </w:r>
      <w:r w:rsidR="00607BBB">
        <w:t xml:space="preserve"> vahendite</w:t>
      </w:r>
      <w:r w:rsidR="00881CD0">
        <w:t xml:space="preserve"> (maksimaalselt 40 000 eurot eelarveaasta kohta) </w:t>
      </w:r>
      <w:r w:rsidR="00607BBB">
        <w:t xml:space="preserve">piires </w:t>
      </w:r>
      <w:r w:rsidR="00881CD0">
        <w:t xml:space="preserve">abikõlblike halduskulude hüvitamist. </w:t>
      </w:r>
      <w:r w:rsidR="00E2152A">
        <w:t>K</w:t>
      </w:r>
      <w:r w:rsidR="00E2152A" w:rsidRPr="00E2152A">
        <w:t>omisjoni delegeeritud määruse</w:t>
      </w:r>
      <w:r w:rsidR="00E2152A">
        <w:t xml:space="preserve"> (EL) 2022/126 artikli 23 lõike</w:t>
      </w:r>
      <w:r w:rsidR="00E2152A" w:rsidRPr="00E2152A">
        <w:t xml:space="preserve"> 2</w:t>
      </w:r>
      <w:r w:rsidR="00E2152A">
        <w:t xml:space="preserve"> kohaselt käsitatakse toetusesaaja halduskulusid rahastamiskõlblikena, kui need on tekkinud seoses konkreetse toetava sekkumise ettevalmistamise, rakendamise või selle järelmeetmetega</w:t>
      </w:r>
      <w:r w:rsidR="00804772">
        <w:t xml:space="preserve"> ning need ei ületa 4% rakendatud sekkumise rahastamiskõlblikest kogukuludest. </w:t>
      </w:r>
      <w:r w:rsidR="001A1B7C">
        <w:t>Mesindussektori</w:t>
      </w:r>
      <w:r w:rsidR="00346546">
        <w:t>sse</w:t>
      </w:r>
      <w:r w:rsidR="001A1B7C">
        <w:t xml:space="preserve"> sekkumise eelarve Eestis on 280 946 eurot eelarveaasta </w:t>
      </w:r>
      <w:r w:rsidR="00C267D8">
        <w:t>kohta</w:t>
      </w:r>
      <w:r w:rsidR="006674AE">
        <w:t xml:space="preserve"> (140 473 eurot EL eelarvest ja 140 473 eurot Eesti riigieelarvest)</w:t>
      </w:r>
      <w:r w:rsidR="00C267D8">
        <w:t>. K</w:t>
      </w:r>
      <w:r w:rsidR="006674AE">
        <w:t>ui kulusid tehtaks kogu</w:t>
      </w:r>
      <w:r w:rsidR="001A1B7C">
        <w:t xml:space="preserve">eelarve ulatuses ning kõik kulud osutuksid rahastamiskõlblikeks, </w:t>
      </w:r>
      <w:r w:rsidR="00C267D8">
        <w:t>võiks abikõlblike halduskulude summa ulatuda kuni 11 238 euroni eelarveaasta kohta.</w:t>
      </w:r>
      <w:r w:rsidR="002554CF">
        <w:t xml:space="preserve"> Abikõlblikke p</w:t>
      </w:r>
      <w:r w:rsidR="00F97AD7">
        <w:t>ersonalikulusid saaks tehnilise abi rahalistest vahenditest sellisel juhul hüvitada kuni 28 762 (40 000 – 11 238) eurot eelarveaasta kohta.</w:t>
      </w:r>
      <w:r w:rsidR="001A1B7C">
        <w:t xml:space="preserve"> </w:t>
      </w:r>
    </w:p>
    <w:p w14:paraId="4048A5A7" w14:textId="77777777" w:rsidR="00E2152A" w:rsidRDefault="00E2152A" w:rsidP="00C71559">
      <w:pPr>
        <w:jc w:val="both"/>
      </w:pPr>
    </w:p>
    <w:p w14:paraId="4E1ABED6" w14:textId="128CAB15" w:rsidR="00B52459" w:rsidRPr="00F62CF3" w:rsidRDefault="00032FDE" w:rsidP="00C71559">
      <w:pPr>
        <w:jc w:val="both"/>
      </w:pPr>
      <w:r>
        <w:t>Lõigetes 4–6</w:t>
      </w:r>
      <w:r w:rsidR="00F62CF3" w:rsidRPr="00F62CF3">
        <w:t xml:space="preserve"> sätestatakse </w:t>
      </w:r>
      <w:r w:rsidR="00A35F91">
        <w:t>mõnede tegevuskava</w:t>
      </w:r>
      <w:r w:rsidR="00214FF5">
        <w:t>s sisalduvate tegevuste osas</w:t>
      </w:r>
      <w:r w:rsidR="002554CF">
        <w:t xml:space="preserve"> </w:t>
      </w:r>
      <w:r w:rsidR="00C71559">
        <w:t xml:space="preserve">kulude hüvitamine lihtsustatud kulumeetodina ühikuhinna alusel. </w:t>
      </w:r>
      <w:r w:rsidR="0023740B">
        <w:t>Ü</w:t>
      </w:r>
      <w:r w:rsidR="00607FD5">
        <w:t xml:space="preserve">hikuhinna kasutamise põhjuseks on paljude ühetaoliste ja korduvate kulude standardiseerimisega halduskoormuse vähendamine. </w:t>
      </w:r>
      <w:r w:rsidR="000C0CCB">
        <w:t xml:space="preserve">Halduskoormuse vähendamise vajadus EL toetuste kasutamisel </w:t>
      </w:r>
      <w:r w:rsidR="00BD7180">
        <w:t>tõstetakse esile näiteks</w:t>
      </w:r>
      <w:r w:rsidR="000C0CCB">
        <w:t xml:space="preserve"> riigikontrolli 29. augusti 2022. a ülevaates „Euroopa Liidu toetuste kasutamise riskid ja õppetunnid“, mille kohaselt tuleks </w:t>
      </w:r>
      <w:r w:rsidR="00BD7180">
        <w:t xml:space="preserve">nii toetuse andja kui ka saaja koormuse vähendamiseks </w:t>
      </w:r>
      <w:r w:rsidR="000C0CCB">
        <w:t>otsida kulude menetluse lihtsustamise võimalusi</w:t>
      </w:r>
      <w:r w:rsidR="00D81333">
        <w:rPr>
          <w:rStyle w:val="FootnoteReference"/>
          <w:color w:val="000000" w:themeColor="text1"/>
        </w:rPr>
        <w:footnoteReference w:id="3"/>
      </w:r>
      <w:r w:rsidR="00BD7180">
        <w:t xml:space="preserve">. </w:t>
      </w:r>
      <w:r w:rsidR="00F62CF3">
        <w:t xml:space="preserve"> </w:t>
      </w:r>
    </w:p>
    <w:p w14:paraId="7617793C" w14:textId="77777777" w:rsidR="005234D6" w:rsidRDefault="005234D6" w:rsidP="005234D6">
      <w:pPr>
        <w:jc w:val="both"/>
      </w:pPr>
    </w:p>
    <w:p w14:paraId="36254BAF" w14:textId="095E5EDD" w:rsidR="005234D6" w:rsidRPr="00F62CF3" w:rsidRDefault="0023740B" w:rsidP="005234D6">
      <w:pPr>
        <w:jc w:val="both"/>
      </w:pPr>
      <w:r>
        <w:t>Ü</w:t>
      </w:r>
      <w:r w:rsidR="00BA092E">
        <w:t>hikuhindade kehtestami</w:t>
      </w:r>
      <w:r w:rsidR="00032FDE">
        <w:t>se alusteks (sätestatud lõikes 7</w:t>
      </w:r>
      <w:r w:rsidR="00BA092E">
        <w:t>) on</w:t>
      </w:r>
      <w:r w:rsidR="004C594D">
        <w:t xml:space="preserve"> ÜPP strateegiakavade m</w:t>
      </w:r>
      <w:r w:rsidR="00BA092E">
        <w:t>ääruse artikli 44 lõike 1 punkt</w:t>
      </w:r>
      <w:r w:rsidR="004C594D">
        <w:t xml:space="preserve"> b ja sama art</w:t>
      </w:r>
      <w:r w:rsidR="00BA092E">
        <w:t>ikli lõig</w:t>
      </w:r>
      <w:r w:rsidR="004C594D">
        <w:t xml:space="preserve">e 2 ning </w:t>
      </w:r>
      <w:r w:rsidR="004C594D" w:rsidRPr="0088285B">
        <w:t>komisjoni delegeeritud mä</w:t>
      </w:r>
      <w:r w:rsidR="004C594D">
        <w:t>äruse (EL) nr 2022/126 artikli</w:t>
      </w:r>
      <w:r w:rsidR="004C594D" w:rsidRPr="0088285B">
        <w:t xml:space="preserve"> 21</w:t>
      </w:r>
      <w:r w:rsidR="00BA092E">
        <w:t xml:space="preserve"> lõige 1</w:t>
      </w:r>
      <w:r w:rsidR="004C594D">
        <w:t xml:space="preserve">. </w:t>
      </w:r>
      <w:r w:rsidR="0076717B">
        <w:t>Nendest sätetest tulenevalt võib t</w:t>
      </w:r>
      <w:r w:rsidR="00DD3263">
        <w:t>eatud sektoritesse sekkumiste, sealhulgas mesindussektori</w:t>
      </w:r>
      <w:r w:rsidR="00346546">
        <w:t>sse</w:t>
      </w:r>
      <w:r w:rsidR="00DD3263">
        <w:t xml:space="preserve"> sekkumise</w:t>
      </w:r>
      <w:r w:rsidR="001B086B">
        <w:t>,</w:t>
      </w:r>
      <w:r w:rsidR="00DD3263">
        <w:t xml:space="preserve"> korral </w:t>
      </w:r>
      <w:r w:rsidR="00841355">
        <w:t xml:space="preserve">anda </w:t>
      </w:r>
      <w:r w:rsidR="0076717B">
        <w:t xml:space="preserve">tegelikult tekkinud rahastamiskõlblike kulude hüvitamise asemel </w:t>
      </w:r>
      <w:r w:rsidR="00841355">
        <w:t xml:space="preserve">toetust </w:t>
      </w:r>
      <w:r w:rsidR="0076717B">
        <w:t xml:space="preserve">ka </w:t>
      </w:r>
      <w:r w:rsidR="00841355">
        <w:t>lihtsustatud k</w:t>
      </w:r>
      <w:r>
        <w:t>ulumeetodite (</w:t>
      </w:r>
      <w:r w:rsidR="00841355">
        <w:t xml:space="preserve">ühikuhind, kindlasummaline makse või ühtne määr) vormis. </w:t>
      </w:r>
      <w:r w:rsidR="005234D6">
        <w:t>ÜPP strateegiakavade määruse artikli 44 lõike 2 kohaselt määratakse lihtsustatud kulumeetodi puhul toetuse suurus kindlaks ühel alljärgnevatest viisidest:</w:t>
      </w:r>
    </w:p>
    <w:p w14:paraId="25FFA71B" w14:textId="16F5C2D8" w:rsidR="005234D6" w:rsidRDefault="005234D6" w:rsidP="00C71559">
      <w:pPr>
        <w:jc w:val="both"/>
      </w:pPr>
      <w:r>
        <w:lastRenderedPageBreak/>
        <w:t xml:space="preserve">a) ausa, õiglase ja kontrollitava arvutusmeetodiga, mis põhineb: i) statistilistel andmetel, muul objektiivsel teabel või eksperdihinnangul; ii) toetusesaajate varasemat tegevust käsitlevatel kontrollitud andmetel või iii) toetusesaajate tavapäraste kuluarvestustavade rakendamisel; </w:t>
      </w:r>
    </w:p>
    <w:p w14:paraId="3B9A9095" w14:textId="53B13349" w:rsidR="005234D6" w:rsidRDefault="005234D6" w:rsidP="00C71559">
      <w:pPr>
        <w:jc w:val="both"/>
      </w:pPr>
      <w:r>
        <w:t>b) eelarveprojektid on koostatud üksikjuhtumipõhiselt ja nendes on eelnevalt kokku lepitud tegevuse välja valiva asutusega sekkumise puhul veini- ja mesindussektorisse …;</w:t>
      </w:r>
    </w:p>
    <w:p w14:paraId="05B782C6" w14:textId="141ADEB6" w:rsidR="005234D6" w:rsidRDefault="005234D6" w:rsidP="00C71559">
      <w:pPr>
        <w:jc w:val="both"/>
      </w:pPr>
      <w:r>
        <w:t xml:space="preserve">c) kooskõlas vastavate ühikuhindade, kindlasummaliste maksete ja ühtse määra alusel rahastamise kohaldamise normidega, mida kohaldatakse liidu poliitikas sarnaste sekkumisviiside suhtes; </w:t>
      </w:r>
    </w:p>
    <w:p w14:paraId="288716C7" w14:textId="6D8F3028" w:rsidR="005234D6" w:rsidRDefault="005234D6" w:rsidP="00C71559">
      <w:pPr>
        <w:jc w:val="both"/>
      </w:pPr>
      <w:r>
        <w:t>d) kooskõlas vastavate ühikuhindade, kindlasummaliste maksete ja ühtse määra alusel rahastamise kohaldamise normidega, mida kohaldatakse sarnase sekkumisviisiga seotud toetuskavade alusel, mida rahastavad täielikult liikmesriigid.</w:t>
      </w:r>
    </w:p>
    <w:p w14:paraId="29376DD6" w14:textId="32B6F451" w:rsidR="00C44237" w:rsidRDefault="00C44237" w:rsidP="00C71559">
      <w:pPr>
        <w:jc w:val="both"/>
      </w:pPr>
      <w:r>
        <w:t>K</w:t>
      </w:r>
      <w:r w:rsidRPr="0088285B">
        <w:t>omisjoni delegeeritud mä</w:t>
      </w:r>
      <w:r>
        <w:t>äruse (EL) nr 2022/126 artikli</w:t>
      </w:r>
      <w:r w:rsidRPr="0088285B">
        <w:t xml:space="preserve"> 21</w:t>
      </w:r>
      <w:r>
        <w:t xml:space="preserve"> lõikes 1 </w:t>
      </w:r>
      <w:r w:rsidR="00490613">
        <w:t xml:space="preserve">täpsustatakse, et lihtsustatud kulumeetodite kehtestamisel võtavad liikmesriigid arvesse piirkondlikke või kohalikke eripärasid ning lähtuvad arvutuste tegemisel dokumentaalsetest tõenditest, mis näitavad, et arvutus kajastab asjaomase sekkumisega hõlmatud toimingute või tegevuste turuhinda. Sama </w:t>
      </w:r>
      <w:r w:rsidR="00032FDE">
        <w:t xml:space="preserve">komisjoni </w:t>
      </w:r>
      <w:r w:rsidR="00490613">
        <w:t>määruse sama artikli lõike 3 kohaselt vaadatakse lihtsustatud kulumeetodite vormis kehtestatud toetusmäärad korrapäraselt läbi, et võtta arvesse indekseerimist või majanduslikke muutusi.</w:t>
      </w:r>
    </w:p>
    <w:p w14:paraId="41F37F5E" w14:textId="77777777" w:rsidR="005234D6" w:rsidRDefault="005234D6" w:rsidP="00C71559">
      <w:pPr>
        <w:jc w:val="both"/>
      </w:pPr>
    </w:p>
    <w:p w14:paraId="293D0763" w14:textId="23A08C59" w:rsidR="00A345B0" w:rsidRPr="00654E3D" w:rsidRDefault="00393F32" w:rsidP="00A345B0">
      <w:pPr>
        <w:jc w:val="both"/>
      </w:pPr>
      <w:r>
        <w:t xml:space="preserve">Lõikes 4 </w:t>
      </w:r>
      <w:r w:rsidR="002C5D15">
        <w:t>on</w:t>
      </w:r>
      <w:r>
        <w:t xml:space="preserve"> lihtsustatud kulumeetodina </w:t>
      </w:r>
      <w:r w:rsidR="002C5D15">
        <w:t xml:space="preserve">kehtestatud </w:t>
      </w:r>
      <w:r>
        <w:t>ühikuhind teabe- ja õppepäeva ning kursuse korraldamisel lektorile makstavale tasule.</w:t>
      </w:r>
      <w:r w:rsidR="00261821">
        <w:t xml:space="preserve"> Lektori tasu suuruseks teabe- ja õppepäeva n</w:t>
      </w:r>
      <w:r w:rsidR="0023740B">
        <w:t xml:space="preserve">ing kursuse puhul on </w:t>
      </w:r>
      <w:r w:rsidR="007C65CF">
        <w:t>ühikuhinna maksumusena 68</w:t>
      </w:r>
      <w:r w:rsidR="00261821">
        <w:t xml:space="preserve"> eurot loengu</w:t>
      </w:r>
      <w:r w:rsidR="00C13D2F">
        <w:t xml:space="preserve"> ühe akadeemilise </w:t>
      </w:r>
      <w:r w:rsidR="00261821">
        <w:t xml:space="preserve">tunni kohta. </w:t>
      </w:r>
      <w:r w:rsidR="008B09A5">
        <w:t>Teatud juhtudel, kui on objektiivselt</w:t>
      </w:r>
      <w:r w:rsidR="00422A7F">
        <w:t xml:space="preserve"> </w:t>
      </w:r>
      <w:r w:rsidR="00844571">
        <w:t>põhjendatud</w:t>
      </w:r>
      <w:r w:rsidR="008B09A5">
        <w:t xml:space="preserve">, </w:t>
      </w:r>
      <w:r w:rsidR="00E25E16">
        <w:t xml:space="preserve">et </w:t>
      </w:r>
      <w:r w:rsidR="00E25E16">
        <w:rPr>
          <w:color w:val="000000" w:themeColor="text1"/>
        </w:rPr>
        <w:t xml:space="preserve">esitatav ettekanne on </w:t>
      </w:r>
      <w:r w:rsidR="00D60B25">
        <w:rPr>
          <w:color w:val="000000" w:themeColor="text1"/>
        </w:rPr>
        <w:t>Eesti mesindussektori jaoks uudseid</w:t>
      </w:r>
      <w:r w:rsidR="00E25E16">
        <w:rPr>
          <w:color w:val="000000" w:themeColor="text1"/>
        </w:rPr>
        <w:t xml:space="preserve"> teadmisi a</w:t>
      </w:r>
      <w:r w:rsidR="00D60B25">
        <w:rPr>
          <w:color w:val="000000" w:themeColor="text1"/>
        </w:rPr>
        <w:t>ndev</w:t>
      </w:r>
      <w:r w:rsidR="00CA2FAE">
        <w:rPr>
          <w:color w:val="000000" w:themeColor="text1"/>
        </w:rPr>
        <w:t xml:space="preserve"> (</w:t>
      </w:r>
      <w:r w:rsidR="001D1AFF">
        <w:rPr>
          <w:color w:val="000000" w:themeColor="text1"/>
        </w:rPr>
        <w:t xml:space="preserve">näiteks tehakse ettekanne uute meetodite kohta </w:t>
      </w:r>
      <w:r w:rsidR="00AF79CD">
        <w:rPr>
          <w:color w:val="000000" w:themeColor="text1"/>
        </w:rPr>
        <w:t>mesilashaiguste tõrjeks või uuenduslike</w:t>
      </w:r>
      <w:r w:rsidR="001D1AFF">
        <w:rPr>
          <w:color w:val="000000" w:themeColor="text1"/>
        </w:rPr>
        <w:t xml:space="preserve"> </w:t>
      </w:r>
      <w:r w:rsidR="00AF79CD">
        <w:rPr>
          <w:color w:val="000000" w:themeColor="text1"/>
        </w:rPr>
        <w:t xml:space="preserve">mee tootmise ja töötlemise </w:t>
      </w:r>
      <w:r w:rsidR="001D1AFF">
        <w:rPr>
          <w:color w:val="000000" w:themeColor="text1"/>
        </w:rPr>
        <w:t>tehnoloogiate kohta)</w:t>
      </w:r>
      <w:r w:rsidR="00E25E16">
        <w:rPr>
          <w:color w:val="000000" w:themeColor="text1"/>
        </w:rPr>
        <w:t xml:space="preserve">, </w:t>
      </w:r>
      <w:r w:rsidR="00E71ACD" w:rsidRPr="00E71ACD">
        <w:t xml:space="preserve">võib </w:t>
      </w:r>
      <w:r w:rsidR="00844571">
        <w:t xml:space="preserve">maksta </w:t>
      </w:r>
      <w:r w:rsidR="00E71ACD" w:rsidRPr="00E71ACD">
        <w:t>ühikuhinna maksumuse</w:t>
      </w:r>
      <w:r w:rsidR="00844571">
        <w:t xml:space="preserve">st kõrgemat lektori tasu </w:t>
      </w:r>
      <w:r w:rsidR="00E71ACD" w:rsidRPr="00E71ACD">
        <w:t>lektorile, kelle esindatav asutus, organisatsioon või ettevõte ei asu Eestis ning kelle elukohamaa ei ole Eesti.</w:t>
      </w:r>
      <w:r w:rsidR="00422A7F">
        <w:t xml:space="preserve"> </w:t>
      </w:r>
      <w:r w:rsidR="00844571">
        <w:t xml:space="preserve">Sellisel </w:t>
      </w:r>
      <w:r w:rsidR="00E25E16">
        <w:t xml:space="preserve">põhjendatud </w:t>
      </w:r>
      <w:r w:rsidR="00844571">
        <w:t xml:space="preserve">juhul </w:t>
      </w:r>
      <w:r w:rsidR="00E318EB">
        <w:t>toob</w:t>
      </w:r>
      <w:r w:rsidR="00BB1B7A">
        <w:t xml:space="preserve"> mesinduskogu </w:t>
      </w:r>
      <w:r w:rsidR="00263AD3">
        <w:t xml:space="preserve">tegevuskavas </w:t>
      </w:r>
      <w:r w:rsidR="00E318EB">
        <w:t xml:space="preserve">vastava </w:t>
      </w:r>
      <w:r w:rsidR="00263AD3">
        <w:t xml:space="preserve">teabe- ja õppepäeva ning kursuse </w:t>
      </w:r>
      <w:r w:rsidR="00E318EB">
        <w:t>puhul</w:t>
      </w:r>
      <w:r w:rsidR="005B4217">
        <w:t xml:space="preserve"> </w:t>
      </w:r>
      <w:r w:rsidR="00A345B0">
        <w:t xml:space="preserve">välislektori tasu eeldatava </w:t>
      </w:r>
      <w:r w:rsidR="005B4217">
        <w:t>suuruse kõrval välja</w:t>
      </w:r>
      <w:r w:rsidR="00A345B0">
        <w:t xml:space="preserve"> </w:t>
      </w:r>
      <w:r w:rsidR="00E318EB">
        <w:t xml:space="preserve">argumenteeritud põhjendused </w:t>
      </w:r>
      <w:r w:rsidR="005B4217">
        <w:t xml:space="preserve">välislektori kaasamise vajaduse kohta </w:t>
      </w:r>
      <w:r w:rsidR="00A345B0">
        <w:t xml:space="preserve">ning </w:t>
      </w:r>
      <w:r w:rsidR="00BB1B7A">
        <w:t xml:space="preserve">PRIA-le maksetaotlust esitades </w:t>
      </w:r>
      <w:r w:rsidR="00A345B0">
        <w:t xml:space="preserve">lisab </w:t>
      </w:r>
      <w:r w:rsidR="00654E3D">
        <w:t>kuludokumendid välislektorile tegelikult makstud lekto</w:t>
      </w:r>
      <w:r w:rsidR="00E318EB">
        <w:t>ri tasu kohta</w:t>
      </w:r>
      <w:r w:rsidR="00654E3D">
        <w:t xml:space="preserve">. </w:t>
      </w:r>
      <w:r w:rsidR="00A345B0">
        <w:t>Kui</w:t>
      </w:r>
      <w:r w:rsidR="00A345B0" w:rsidRPr="00A345B0">
        <w:t xml:space="preserve"> </w:t>
      </w:r>
      <w:r w:rsidR="00A345B0" w:rsidRPr="00E71ACD">
        <w:t>ühikuhinna maksumuse</w:t>
      </w:r>
      <w:r w:rsidR="00A345B0">
        <w:t xml:space="preserve">st kõrgema lektori tasuga välislektori kasutamise vajadus selgub peale tegevuskava heakskiitmist, tuleb teha tegevuskava muudatus. Muutmisel tuleb arvestada, et </w:t>
      </w:r>
      <w:r w:rsidR="00C13D2F">
        <w:t>ei ületata</w:t>
      </w:r>
      <w:r w:rsidR="007C65CF">
        <w:t>ks</w:t>
      </w:r>
      <w:r w:rsidR="00C13D2F">
        <w:t xml:space="preserve"> </w:t>
      </w:r>
      <w:r w:rsidR="00A345B0">
        <w:t>s</w:t>
      </w:r>
      <w:r w:rsidR="005B4217">
        <w:t xml:space="preserve">ekkumisviisi ja </w:t>
      </w:r>
      <w:r w:rsidR="00A345B0" w:rsidRPr="00263AD3">
        <w:t>eel</w:t>
      </w:r>
      <w:r w:rsidR="005B4217">
        <w:t xml:space="preserve">arveaasta kohta </w:t>
      </w:r>
      <w:r w:rsidR="00A345B0" w:rsidRPr="00263AD3">
        <w:t>ELÜPS § 11 lõike 3 alusel maaelum</w:t>
      </w:r>
      <w:r w:rsidR="005B4217">
        <w:t xml:space="preserve">inistri käskkirjaga </w:t>
      </w:r>
      <w:r w:rsidR="00A345B0" w:rsidRPr="00263AD3">
        <w:t>sätestatud toetuse rahaliste vahendite summa</w:t>
      </w:r>
      <w:r w:rsidR="00A345B0">
        <w:t>t.</w:t>
      </w:r>
    </w:p>
    <w:p w14:paraId="0E527DE6" w14:textId="0DB49874" w:rsidR="00A345B0" w:rsidRDefault="00A345B0" w:rsidP="00393F32">
      <w:pPr>
        <w:jc w:val="both"/>
        <w:rPr>
          <w:color w:val="000000" w:themeColor="text1"/>
        </w:rPr>
      </w:pPr>
    </w:p>
    <w:p w14:paraId="1806BAE0" w14:textId="5D9D8E1F" w:rsidR="00214FF5" w:rsidRPr="002C5D15" w:rsidRDefault="0023740B" w:rsidP="002D195A">
      <w:pPr>
        <w:jc w:val="both"/>
      </w:pPr>
      <w:r>
        <w:t>Ü</w:t>
      </w:r>
      <w:r w:rsidR="00261821">
        <w:t xml:space="preserve">hikuhinna </w:t>
      </w:r>
      <w:r w:rsidR="002C5D15">
        <w:t>maksumuse</w:t>
      </w:r>
      <w:r w:rsidR="00C13D2F">
        <w:t xml:space="preserve"> suuruse </w:t>
      </w:r>
      <w:r w:rsidR="009E5625">
        <w:t xml:space="preserve">– </w:t>
      </w:r>
      <w:r w:rsidR="00230F46">
        <w:t>68</w:t>
      </w:r>
      <w:r w:rsidR="009E5625">
        <w:t xml:space="preserve"> eurot loengu</w:t>
      </w:r>
      <w:r w:rsidR="00C13D2F">
        <w:t xml:space="preserve"> ühe akadeemilise </w:t>
      </w:r>
      <w:r w:rsidR="009E5625">
        <w:t xml:space="preserve">tunni kohta – </w:t>
      </w:r>
      <w:r w:rsidR="00C13D2F">
        <w:t>määramisel on aluseks võetud eelmis</w:t>
      </w:r>
      <w:r w:rsidR="00C13D2F" w:rsidRPr="00C13D2F">
        <w:t>el</w:t>
      </w:r>
      <w:r w:rsidR="00C13D2F">
        <w:t xml:space="preserve"> EL-i eelarveperioodi</w:t>
      </w:r>
      <w:r w:rsidR="00C13D2F" w:rsidRPr="001E3123">
        <w:t>l mesindusprogrammi</w:t>
      </w:r>
      <w:r w:rsidR="00DF5289">
        <w:t>de</w:t>
      </w:r>
      <w:r w:rsidR="00C13D2F" w:rsidRPr="001E3123">
        <w:t xml:space="preserve"> toetusmeetme</w:t>
      </w:r>
      <w:r w:rsidR="00C13D2F">
        <w:t xml:space="preserve"> </w:t>
      </w:r>
      <w:r w:rsidR="007B432F">
        <w:t xml:space="preserve">viimasel 3-aastasel rakendusperioodil </w:t>
      </w:r>
      <w:r w:rsidR="00030AF5">
        <w:t xml:space="preserve">1.08.2019 – 31.07.2022 </w:t>
      </w:r>
      <w:r w:rsidR="00C13D2F">
        <w:t xml:space="preserve">kehtinud </w:t>
      </w:r>
      <w:r w:rsidR="007B432F">
        <w:t>lektori tasu ühikuhind</w:t>
      </w:r>
      <w:r w:rsidR="00C85FD3">
        <w:t xml:space="preserve"> (57 eurot loengu ühe akadeemilise tunni kohta)</w:t>
      </w:r>
      <w:r w:rsidR="007B432F">
        <w:t xml:space="preserve">, mida on korrigeeritud </w:t>
      </w:r>
      <w:r w:rsidR="00B81C2E">
        <w:t xml:space="preserve">Eesti keskmise brutokuupalga kasvuga </w:t>
      </w:r>
      <w:r w:rsidR="002D195A">
        <w:t xml:space="preserve">perioodil 2019. a II kvartal kuni 2022. a II kvartal. Statistikaameti andmetel kasvas Eesti keskmine brutokuupalk II kvartalis 2019. a II kvartali 1 419 eurolt 1 693 eurole 2022. a II kvartalis ehk 19,3% võrra. </w:t>
      </w:r>
      <w:r w:rsidR="00230F46">
        <w:t>Perioodil 1.08.2019 – 31.07.2022 kehtinud lektori tasu ühikuhinna 57 eurot suurendamine 19,3% võrra annab Eesti keskmise brutokuupalga kasvuga korrigeeritud lektori tasu ühikuhinnaks 68 eurot loengu ühe akadeemilise tunni kohta.</w:t>
      </w:r>
      <w:r w:rsidR="00C13D2F">
        <w:t xml:space="preserve"> </w:t>
      </w:r>
    </w:p>
    <w:p w14:paraId="011AF974" w14:textId="77777777" w:rsidR="00844571" w:rsidRDefault="00844571" w:rsidP="00B57829">
      <w:pPr>
        <w:jc w:val="both"/>
      </w:pPr>
    </w:p>
    <w:p w14:paraId="75D3422A" w14:textId="0C0EBEB0" w:rsidR="00214FF5" w:rsidRPr="002C5D15" w:rsidRDefault="002C5D15" w:rsidP="00B57829">
      <w:pPr>
        <w:jc w:val="both"/>
      </w:pPr>
      <w:r w:rsidRPr="002C5D15">
        <w:t xml:space="preserve">Lõikes 5 </w:t>
      </w:r>
      <w:r>
        <w:t>on lihtsustatud kulumeetodin</w:t>
      </w:r>
      <w:r w:rsidR="0023740B">
        <w:t xml:space="preserve">a kehtestatud </w:t>
      </w:r>
      <w:r>
        <w:t>ühikuhind teabe- ja õpp</w:t>
      </w:r>
      <w:r w:rsidR="00B57829">
        <w:t>epäeva ning kursuse läbiviimise</w:t>
      </w:r>
      <w:r>
        <w:t xml:space="preserve"> eest, </w:t>
      </w:r>
      <w:r w:rsidR="00B57829">
        <w:t xml:space="preserve">mis ei sisalda lõikes 4 nimetatud lektori tasu. Teabe- ja õppepäeva ning kursuse </w:t>
      </w:r>
      <w:r w:rsidR="0024661D">
        <w:t>korraldamis</w:t>
      </w:r>
      <w:r w:rsidR="0023740B">
        <w:t xml:space="preserve">e tasu suurus </w:t>
      </w:r>
      <w:r w:rsidR="0024661D">
        <w:t xml:space="preserve">ühikuhinna maksumusena on erinev, sõltudes korraldatava teabe- ja õppepäeva ning kursuse ajalisest kestusest, osalejate arvust ja </w:t>
      </w:r>
      <w:r w:rsidR="00F72248">
        <w:t>sell</w:t>
      </w:r>
      <w:r w:rsidR="009A2DE8">
        <w:t>e läbiviimise viisist (kontaktõppe vormis</w:t>
      </w:r>
      <w:r w:rsidR="00F72248">
        <w:t xml:space="preserve"> või </w:t>
      </w:r>
      <w:r w:rsidR="009A2DE8">
        <w:t xml:space="preserve">veebikeskkonna </w:t>
      </w:r>
      <w:r w:rsidR="008816B0">
        <w:t>vahendusel). Nii on teabe- ja õppepäeva ning kursuse korraldamise puhul toetuse suuruseks, mis ei sisalda lektori tasu, 1 500 eurot ühe veebikeskkonnas korraldatava teabe- ja õppepäeva kohta</w:t>
      </w:r>
      <w:r w:rsidR="005D5E9C">
        <w:t xml:space="preserve"> (</w:t>
      </w:r>
      <w:r w:rsidR="00A226B7">
        <w:t>veebiülekandes tehtava</w:t>
      </w:r>
      <w:r w:rsidR="00FC5E3A">
        <w:t xml:space="preserve"> </w:t>
      </w:r>
      <w:r w:rsidR="00A226B7">
        <w:t xml:space="preserve">ettekande esitab lektor </w:t>
      </w:r>
      <w:r w:rsidR="00D4335E">
        <w:t>teabe- ja õppepäeva läbiviimiseks organiseeritud</w:t>
      </w:r>
      <w:r w:rsidR="00FC5E3A">
        <w:t xml:space="preserve"> </w:t>
      </w:r>
      <w:r w:rsidR="00A226B7">
        <w:t>ruumis või stuudios kohapeal</w:t>
      </w:r>
      <w:r w:rsidR="00FC5E3A">
        <w:t>)</w:t>
      </w:r>
      <w:r w:rsidR="008816B0">
        <w:t xml:space="preserve">, 1 000 eurot ühe veebikeskkonnas lektori asukohas </w:t>
      </w:r>
      <w:r w:rsidR="00D83D25" w:rsidRPr="00A226B7">
        <w:t>(</w:t>
      </w:r>
      <w:r w:rsidR="00A226B7" w:rsidRPr="00A226B7">
        <w:t xml:space="preserve">veebiülekandes </w:t>
      </w:r>
      <w:r w:rsidR="00A226B7">
        <w:t xml:space="preserve">tehtava ettekande esitab lektor </w:t>
      </w:r>
      <w:r w:rsidR="00122A22">
        <w:t xml:space="preserve">oma asukohas, ettekande esitamiseks </w:t>
      </w:r>
      <w:r w:rsidR="00A226B7" w:rsidRPr="00A226B7">
        <w:t xml:space="preserve">kuhugi </w:t>
      </w:r>
      <w:r w:rsidR="00A226B7">
        <w:t>spetsiaalselt kohale minemata</w:t>
      </w:r>
      <w:r w:rsidR="00D83D25" w:rsidRPr="00A226B7">
        <w:t xml:space="preserve">) </w:t>
      </w:r>
      <w:r w:rsidR="008816B0" w:rsidRPr="00A226B7">
        <w:t>korraldatava teabe-</w:t>
      </w:r>
      <w:r w:rsidR="008816B0">
        <w:t xml:space="preserve"> ja õppepäeva kohta, 2 800 eurot ühe koos praktikaga korraldatava teabe- ja õppepäeva </w:t>
      </w:r>
      <w:r w:rsidR="008816B0">
        <w:lastRenderedPageBreak/>
        <w:t>kohta, 1 000 eurot ühe 3–5 akadeemilist tundi ke</w:t>
      </w:r>
      <w:r w:rsidR="00415EE2">
        <w:t xml:space="preserve">stva </w:t>
      </w:r>
      <w:r w:rsidR="008816B0">
        <w:t>10–30</w:t>
      </w:r>
      <w:r w:rsidR="00C95F45">
        <w:t xml:space="preserve"> osalejaga teabe- ja õppepäeva kohta, 1 400 eurot ühe 3–5 akadeemilist tundi ke</w:t>
      </w:r>
      <w:r w:rsidR="00415EE2">
        <w:t xml:space="preserve">stva </w:t>
      </w:r>
      <w:r w:rsidR="00C95F45">
        <w:t xml:space="preserve">üle 30 osalejaga teabe- ja õppepäeva kohta, 1 300 eurot ühe üle 5 akadeemilise tunni </w:t>
      </w:r>
      <w:r w:rsidR="00415EE2">
        <w:t xml:space="preserve">kestva 10–30 osalejaga teabe- ja õppepäeva kohta, 1 800 eurot ühe üle 5 akadeemilise tunni kestva üle 30 osalejaga teabe- ja õppepäeva kohta, 2 500 eurot ühe nii kontaktõppena kui veebikeskkonnas korraldatava ühepäevase kursuse päeva kohta ning 2 000 eurot ühe nii kontaktõppena kui veebikeskkonnas korraldatava kahe või enama päevase kursuse ühe päeva kohta. </w:t>
      </w:r>
      <w:r w:rsidR="0023740B">
        <w:t xml:space="preserve">Nimetatud </w:t>
      </w:r>
      <w:r w:rsidR="00303BEC">
        <w:t>ühikuhinnad baseeruvad PRIA poolt korraldatud hanke „</w:t>
      </w:r>
      <w:r w:rsidR="00303BEC" w:rsidRPr="00303BEC">
        <w:t>Teadmussiirde pikaajaline programm põllumajanduse, toidu ja maamajanduse tegevusvaldkonnas</w:t>
      </w:r>
      <w:r w:rsidR="00303BEC">
        <w:t>“</w:t>
      </w:r>
      <w:r w:rsidR="008816B0">
        <w:t xml:space="preserve"> </w:t>
      </w:r>
      <w:r w:rsidR="004951F9">
        <w:t xml:space="preserve">võitnud pakkumuses </w:t>
      </w:r>
      <w:r w:rsidR="0056468D">
        <w:t xml:space="preserve">(pakkumuste esitamise tähtaeg 15. märts 2021. a) </w:t>
      </w:r>
      <w:r w:rsidR="004951F9">
        <w:t>esitatud samalaadsetel ühikuhindadel.</w:t>
      </w:r>
      <w:r w:rsidR="0024661D">
        <w:t xml:space="preserve">  </w:t>
      </w:r>
    </w:p>
    <w:p w14:paraId="294EB2F6" w14:textId="50C1B416" w:rsidR="006D7052" w:rsidRDefault="006D7052" w:rsidP="006D7052">
      <w:pPr>
        <w:rPr>
          <w:b/>
        </w:rPr>
      </w:pPr>
    </w:p>
    <w:p w14:paraId="710EB0C5" w14:textId="1FD3E7D0" w:rsidR="00032FDE" w:rsidRPr="00C85567" w:rsidRDefault="001002E0" w:rsidP="00032FDE">
      <w:pPr>
        <w:jc w:val="both"/>
      </w:pPr>
      <w:r>
        <w:t>Lõikes 6 on lihtsustatud kulumeetodin</w:t>
      </w:r>
      <w:r w:rsidR="0023740B">
        <w:t xml:space="preserve">a kehtestatud </w:t>
      </w:r>
      <w:r>
        <w:t>ühikuhind usaldusmesiniku poolt mesiniku juures kohapeal nõustamisteenuse osutamisele</w:t>
      </w:r>
      <w:r w:rsidRPr="00C85567">
        <w:t xml:space="preserve">. </w:t>
      </w:r>
      <w:r w:rsidR="00032FDE" w:rsidRPr="00C85567">
        <w:t xml:space="preserve">Kuigi suur osa mesinike poolt usaldusmesinikele esitatud küsimustest saavad lahendatud telefoni või muu sidevahendi vahendusel mesiniku juurde kohapeale minemata, nõuab probleemi efektiivne ja kiire lahendamine teatud juhtudel </w:t>
      </w:r>
      <w:r w:rsidR="00C85567">
        <w:t xml:space="preserve">ikkagi </w:t>
      </w:r>
      <w:r w:rsidR="00032FDE" w:rsidRPr="00C85567">
        <w:t>füüsilist kohalolu</w:t>
      </w:r>
      <w:r w:rsidR="00E4528A">
        <w:t>. Näiteks puudutab see vähem kogenud</w:t>
      </w:r>
      <w:r w:rsidR="00032FDE" w:rsidRPr="00C85567">
        <w:t xml:space="preserve"> mesinike </w:t>
      </w:r>
      <w:r w:rsidR="00D71274">
        <w:t xml:space="preserve">kohapeal </w:t>
      </w:r>
      <w:r w:rsidR="00032FDE" w:rsidRPr="00C85567">
        <w:t xml:space="preserve">abistamist </w:t>
      </w:r>
      <w:r w:rsidR="00E4528A">
        <w:t xml:space="preserve">ja konsulteerimist </w:t>
      </w:r>
      <w:r w:rsidR="00032FDE" w:rsidRPr="00C85567">
        <w:t>proovide võtmisel, kui on kahtlus, et nakatumine varroalestaga on kõrge.</w:t>
      </w:r>
    </w:p>
    <w:p w14:paraId="114D0ADD" w14:textId="77777777" w:rsidR="00C85567" w:rsidRDefault="00C85567" w:rsidP="00C94B3C">
      <w:pPr>
        <w:jc w:val="both"/>
      </w:pPr>
    </w:p>
    <w:p w14:paraId="06524B3A" w14:textId="5136DBEA" w:rsidR="00A8244C" w:rsidRDefault="001002E0" w:rsidP="00C94B3C">
      <w:pPr>
        <w:jc w:val="both"/>
      </w:pPr>
      <w:r w:rsidRPr="002E0C2F">
        <w:t xml:space="preserve">Usaldusmesiniku poolt mesiniku juures kohapeal osutatava nõustamisteenuse tasu </w:t>
      </w:r>
      <w:r w:rsidR="007C5877" w:rsidRPr="002E0C2F">
        <w:t xml:space="preserve">suuruseks </w:t>
      </w:r>
      <w:r w:rsidR="0023740B">
        <w:t xml:space="preserve">on </w:t>
      </w:r>
      <w:r w:rsidR="00336205" w:rsidRPr="002E0C2F">
        <w:t>ühikuhinna maksumusena 68</w:t>
      </w:r>
      <w:r w:rsidRPr="002E0C2F">
        <w:t xml:space="preserve"> eurot ühe nõustamisvisiidi kohta</w:t>
      </w:r>
      <w:r w:rsidR="009A4200" w:rsidRPr="002E0C2F">
        <w:t xml:space="preserve">. </w:t>
      </w:r>
      <w:r w:rsidR="00693C1D">
        <w:t xml:space="preserve">See nõustamisteenuse tasu ei sisalda usaldusmesiniku transpordikulu. </w:t>
      </w:r>
      <w:r w:rsidR="0023740B">
        <w:t xml:space="preserve">Antud </w:t>
      </w:r>
      <w:r w:rsidR="00C94B3C" w:rsidRPr="002E0C2F">
        <w:t>ühikuhinna maksumuse</w:t>
      </w:r>
      <w:r w:rsidR="009A4200" w:rsidRPr="002E0C2F">
        <w:t xml:space="preserve"> suuruse</w:t>
      </w:r>
      <w:r w:rsidR="00C94B3C" w:rsidRPr="002E0C2F">
        <w:t xml:space="preserve"> määra</w:t>
      </w:r>
      <w:r w:rsidR="006D7052">
        <w:t>misel on aluseks võetud eelmise</w:t>
      </w:r>
      <w:r w:rsidR="00C94B3C" w:rsidRPr="002E0C2F">
        <w:t xml:space="preserve"> EL-i eelarveperioodil </w:t>
      </w:r>
      <w:r w:rsidR="00B064BD" w:rsidRPr="002E0C2F">
        <w:t>mesindusprogrammi</w:t>
      </w:r>
      <w:r w:rsidR="00DF5289">
        <w:t>de</w:t>
      </w:r>
      <w:r w:rsidR="00B064BD" w:rsidRPr="002E0C2F">
        <w:t xml:space="preserve"> toetusmeetme</w:t>
      </w:r>
      <w:r w:rsidR="00C94B3C" w:rsidRPr="002E0C2F">
        <w:t xml:space="preserve"> 3-aast</w:t>
      </w:r>
      <w:r w:rsidR="006D7052">
        <w:t>ase</w:t>
      </w:r>
      <w:r w:rsidR="00CB6F26">
        <w:t>l</w:t>
      </w:r>
      <w:r w:rsidR="006D7052">
        <w:t xml:space="preserve"> rakendusperioodi</w:t>
      </w:r>
      <w:r w:rsidR="00CB6F26">
        <w:t>l</w:t>
      </w:r>
      <w:r w:rsidR="00C123A1" w:rsidRPr="002E0C2F">
        <w:t xml:space="preserve"> 1.08.2016 – 31.07.2019</w:t>
      </w:r>
      <w:r w:rsidR="00D71274" w:rsidRPr="002E0C2F">
        <w:t xml:space="preserve"> samalaadse</w:t>
      </w:r>
      <w:r w:rsidR="00CB6F26">
        <w:t>le</w:t>
      </w:r>
      <w:r w:rsidR="00D71274" w:rsidRPr="002E0C2F">
        <w:t xml:space="preserve"> usaldusmesiniku-mesilashaiguste spetsialisti poolt mesiniku juures kohapeal osutatavale teenusele rakendatud ühikuhind 50 eurot ühe visiidi kohta.</w:t>
      </w:r>
      <w:r w:rsidR="0086386F" w:rsidRPr="002E0C2F">
        <w:t xml:space="preserve"> Visiidi tasu </w:t>
      </w:r>
      <w:r w:rsidR="00CB6F26">
        <w:t xml:space="preserve">siis </w:t>
      </w:r>
      <w:r w:rsidR="0086386F" w:rsidRPr="002E0C2F">
        <w:t>hõlmas mesilashaiguse kahtluse korral mesiniku nõustamist, proovide võtmist ja pakenda</w:t>
      </w:r>
      <w:r w:rsidR="00531EAF" w:rsidRPr="002E0C2F">
        <w:t>mist ning uuringutele saatmist, kuid ei hõlmanud usaldusmesiniku transpordikulu. 1.08.2019 – 31.07.2022 rakendatud m</w:t>
      </w:r>
      <w:r w:rsidR="00336205" w:rsidRPr="002E0C2F">
        <w:t>esindusprogrammis usaldusmesinike poolt mesiniku juures kohapeal nõustamisteenuse osutamisele standardset ühikuhinda</w:t>
      </w:r>
      <w:r w:rsidR="00531EAF" w:rsidRPr="002E0C2F">
        <w:t xml:space="preserve"> </w:t>
      </w:r>
      <w:r w:rsidR="00336205" w:rsidRPr="002E0C2F">
        <w:t>ei kasutatud.</w:t>
      </w:r>
      <w:r w:rsidR="00693C1D">
        <w:t xml:space="preserve"> </w:t>
      </w:r>
      <w:r w:rsidR="006D7052">
        <w:t xml:space="preserve">Vahepealset </w:t>
      </w:r>
      <w:r w:rsidR="00CB6F26">
        <w:t>majanduse arengut ja üldist sissetulekute</w:t>
      </w:r>
      <w:r w:rsidR="006D7052">
        <w:t xml:space="preserve"> tõusu arvestades on mesindusprogrammi 3-aastase</w:t>
      </w:r>
      <w:r w:rsidR="00A43969">
        <w:t xml:space="preserve"> rakendusperioodi</w:t>
      </w:r>
      <w:r w:rsidR="006D7052">
        <w:t xml:space="preserve"> </w:t>
      </w:r>
      <w:r w:rsidR="006D7052" w:rsidRPr="002E0C2F">
        <w:t>1.08.2016 – 31.07.2019</w:t>
      </w:r>
      <w:r w:rsidR="00A43969">
        <w:t xml:space="preserve"> teisel ja kolmandal aastal kasutatud visiiditasu ühikuhinda </w:t>
      </w:r>
      <w:r w:rsidR="00B064BD" w:rsidRPr="00A43969">
        <w:t>(50</w:t>
      </w:r>
      <w:r w:rsidR="00C94B3C" w:rsidRPr="00A43969">
        <w:t xml:space="preserve"> eur</w:t>
      </w:r>
      <w:r w:rsidR="00D71274" w:rsidRPr="00A43969">
        <w:t>ot</w:t>
      </w:r>
      <w:r w:rsidR="00B064BD" w:rsidRPr="00A43969">
        <w:t xml:space="preserve"> ühe nõustamisvisiidi</w:t>
      </w:r>
      <w:r w:rsidR="00A43969" w:rsidRPr="00A43969">
        <w:t xml:space="preserve"> kohta) </w:t>
      </w:r>
      <w:r w:rsidR="00C94B3C" w:rsidRPr="00A43969">
        <w:t>korrigeeritud Eesti keskmise brut</w:t>
      </w:r>
      <w:r w:rsidR="00A43969" w:rsidRPr="00A43969">
        <w:t>okuupalga kasvuga perioodil 2017</w:t>
      </w:r>
      <w:r w:rsidR="00C94B3C" w:rsidRPr="00A43969">
        <w:t>. a II kvartal kuni 2022. a II kvartal. Statistikaameti andmetel kasvas Eesti keskmin</w:t>
      </w:r>
      <w:r w:rsidR="00A43969" w:rsidRPr="00A43969">
        <w:t>e brutokuupalk II kvartalis 2017. a II kvartali 1 242</w:t>
      </w:r>
      <w:r w:rsidR="00C94B3C" w:rsidRPr="00A43969">
        <w:t xml:space="preserve"> eurolt 1 693 eu</w:t>
      </w:r>
      <w:r w:rsidR="00A43969" w:rsidRPr="00A43969">
        <w:t>role 2022. a II kvartalis ehk 36,3% võrra. Perioodil 1.08.2016 – 31.07.2029 kasutatud visiidi</w:t>
      </w:r>
      <w:r w:rsidR="00C94B3C" w:rsidRPr="00A43969">
        <w:t>tasu ühikuh</w:t>
      </w:r>
      <w:r w:rsidR="00A43969" w:rsidRPr="00A43969">
        <w:t>inna 50 eurot suurendamine 36</w:t>
      </w:r>
      <w:r w:rsidR="00C94B3C" w:rsidRPr="00A43969">
        <w:t>,3% võrra annab Eesti keskmise brutokuupalg</w:t>
      </w:r>
      <w:r w:rsidR="00A43969" w:rsidRPr="00A43969">
        <w:t>a kasvuga korrigeeritud visiidi</w:t>
      </w:r>
      <w:r w:rsidR="00C94B3C" w:rsidRPr="00A43969">
        <w:t>tasu ühikuhinnaks 68 eur</w:t>
      </w:r>
      <w:r w:rsidR="00A43969" w:rsidRPr="00A43969">
        <w:t>ot ühe nõustamisvisiidi</w:t>
      </w:r>
      <w:r w:rsidR="00C94B3C" w:rsidRPr="00A43969">
        <w:t xml:space="preserve"> kohta.</w:t>
      </w:r>
    </w:p>
    <w:p w14:paraId="4AE08D5C" w14:textId="77777777" w:rsidR="00A8244C" w:rsidRDefault="00A8244C" w:rsidP="00C94B3C">
      <w:pPr>
        <w:jc w:val="both"/>
      </w:pPr>
    </w:p>
    <w:p w14:paraId="24E9532A" w14:textId="239BE21B" w:rsidR="00C94B3C" w:rsidRPr="00A43969" w:rsidRDefault="00A8244C" w:rsidP="00C94B3C">
      <w:pPr>
        <w:jc w:val="both"/>
      </w:pPr>
      <w:r>
        <w:t xml:space="preserve">Muud </w:t>
      </w:r>
      <w:r w:rsidRPr="00770CC1">
        <w:t>usaldusmesiniku poolt nõustamisteenuse osutamisega seotud kulud</w:t>
      </w:r>
      <w:r>
        <w:t xml:space="preserve">, milleks eelkõige on usaldusmesiniku enda juures toimuv nõustamine, hüvitatakse tegelikult tekkinud kulude põhjal. </w:t>
      </w:r>
      <w:r w:rsidR="00C94B3C" w:rsidRPr="00A43969">
        <w:t xml:space="preserve"> </w:t>
      </w:r>
    </w:p>
    <w:p w14:paraId="79F308BA" w14:textId="77777777" w:rsidR="00C94B3C" w:rsidRPr="00A43969" w:rsidRDefault="00C94B3C" w:rsidP="00B57829">
      <w:pPr>
        <w:jc w:val="both"/>
      </w:pPr>
    </w:p>
    <w:p w14:paraId="4309750F" w14:textId="0BDF124B" w:rsidR="00D125E5" w:rsidRDefault="00CA135A" w:rsidP="00203811">
      <w:pPr>
        <w:jc w:val="both"/>
      </w:pPr>
      <w:r w:rsidRPr="00CA135A">
        <w:rPr>
          <w:b/>
        </w:rPr>
        <w:t xml:space="preserve">Eelnõu §-ga </w:t>
      </w:r>
      <w:r w:rsidR="00624287">
        <w:rPr>
          <w:b/>
        </w:rPr>
        <w:t>8</w:t>
      </w:r>
      <w:r>
        <w:t xml:space="preserve"> sätestatakse</w:t>
      </w:r>
      <w:r w:rsidR="006D0546" w:rsidRPr="006D0546">
        <w:t xml:space="preserve"> </w:t>
      </w:r>
      <w:r w:rsidR="006D0546">
        <w:t>tegevuskava esitamine ja tegevuskava esitamise tähtaeg.</w:t>
      </w:r>
    </w:p>
    <w:p w14:paraId="5CDC8B73" w14:textId="77777777" w:rsidR="006D0546" w:rsidRDefault="006D0546" w:rsidP="00203811">
      <w:pPr>
        <w:jc w:val="both"/>
      </w:pPr>
    </w:p>
    <w:p w14:paraId="13DEB42A" w14:textId="30F25E66" w:rsidR="006D0546" w:rsidRDefault="006D0546" w:rsidP="00203811">
      <w:pPr>
        <w:jc w:val="both"/>
      </w:pPr>
      <w:r>
        <w:t>Lõikes 1 sätestatakse, et mesinduskogu esitab toetuse saamiseks PRIA-le elektrooniliselt PRIA e-teenuse keskkonna kaudu tegevuskava</w:t>
      </w:r>
      <w:r w:rsidR="00205C3E">
        <w:t xml:space="preserve">. Tegevuskava </w:t>
      </w:r>
      <w:r w:rsidR="006B5024">
        <w:t>esimese perioodi (2023. aastal tegevuskava heakskiitmisega algav ja 15. oktoobril 2025. aastal lõppev periood)</w:t>
      </w:r>
      <w:r w:rsidR="00205C3E">
        <w:t xml:space="preserve"> kohta esitatakse hiljemalt 31. märtsi</w:t>
      </w:r>
      <w:r w:rsidR="00DF2F24">
        <w:t>l</w:t>
      </w:r>
      <w:r w:rsidR="00205C3E">
        <w:t xml:space="preserve"> 2023. a</w:t>
      </w:r>
      <w:r w:rsidR="006B5024">
        <w:t>asta</w:t>
      </w:r>
      <w:r w:rsidR="00205C3E">
        <w:t xml:space="preserve"> ning </w:t>
      </w:r>
      <w:r w:rsidR="006B5024">
        <w:t>teise perioodi (</w:t>
      </w:r>
      <w:r w:rsidR="00205C3E" w:rsidRPr="00205C3E">
        <w:t>16. oktoobril 2025. a</w:t>
      </w:r>
      <w:r w:rsidR="006B5024">
        <w:t>astal</w:t>
      </w:r>
      <w:r w:rsidR="00205C3E" w:rsidRPr="00205C3E">
        <w:t xml:space="preserve"> algav ja 15. oktoobril 2028. a</w:t>
      </w:r>
      <w:r w:rsidR="006B5024">
        <w:t>asta</w:t>
      </w:r>
      <w:r w:rsidR="00205C3E" w:rsidRPr="00205C3E">
        <w:t xml:space="preserve"> lõppev periood</w:t>
      </w:r>
      <w:r w:rsidR="006B5024">
        <w:t>)</w:t>
      </w:r>
      <w:r w:rsidR="00205C3E" w:rsidRPr="00205C3E">
        <w:t xml:space="preserve"> kohta </w:t>
      </w:r>
      <w:r w:rsidR="00205C3E">
        <w:t>hiljemalt 31. juuli</w:t>
      </w:r>
      <w:r w:rsidR="00DF2F24">
        <w:t>l</w:t>
      </w:r>
      <w:r w:rsidR="00205C3E" w:rsidRPr="00205C3E">
        <w:t xml:space="preserve"> 2025. a</w:t>
      </w:r>
      <w:r w:rsidR="006B5024">
        <w:t>asta</w:t>
      </w:r>
      <w:r w:rsidR="00205C3E">
        <w:t>.</w:t>
      </w:r>
    </w:p>
    <w:p w14:paraId="61B26C9F" w14:textId="77777777" w:rsidR="00D125E5" w:rsidRDefault="00D125E5" w:rsidP="00203811">
      <w:pPr>
        <w:jc w:val="both"/>
      </w:pPr>
    </w:p>
    <w:p w14:paraId="14FE06E7" w14:textId="5D1C31D0" w:rsidR="006D0546" w:rsidRDefault="0009017A" w:rsidP="006D0546">
      <w:pPr>
        <w:jc w:val="both"/>
      </w:pPr>
      <w:r>
        <w:t xml:space="preserve">Lõikes 2 loetletakse koos tegevuskavaga toetuse taotlemiseks esitatavad dokumendid, mis tõendavad </w:t>
      </w:r>
      <w:r w:rsidR="00205C3E">
        <w:t xml:space="preserve">mõningaid </w:t>
      </w:r>
      <w:r>
        <w:t xml:space="preserve">tegevuskavas esitatud andmeid. Sellisteks dokumentideks on: 1) mesinduskogu üldkoosoleku </w:t>
      </w:r>
      <w:r w:rsidR="00EA1DA2">
        <w:t xml:space="preserve">või seltsinglaste </w:t>
      </w:r>
      <w:r>
        <w:t xml:space="preserve">otsuse protokoll, millega kinnitati tegevuskava; 2) </w:t>
      </w:r>
      <w:r w:rsidRPr="0009017A">
        <w:t>mesinduskogu seltsingulepingu ärakiri ja partnerilepingu ärakiri</w:t>
      </w:r>
      <w:r>
        <w:t xml:space="preserve">; 3) </w:t>
      </w:r>
      <w:r w:rsidRPr="0009017A">
        <w:t>mesinduskogu liikmeks olevate mesindussektori isikute ühenduste mesinikest liikmete nimekirjad</w:t>
      </w:r>
      <w:r>
        <w:t xml:space="preserve">. </w:t>
      </w:r>
    </w:p>
    <w:p w14:paraId="705B780C" w14:textId="77777777" w:rsidR="006D0546" w:rsidRDefault="006D0546" w:rsidP="006D0546">
      <w:pPr>
        <w:jc w:val="both"/>
      </w:pPr>
    </w:p>
    <w:p w14:paraId="0019640B" w14:textId="77777777" w:rsidR="006D0546" w:rsidRDefault="00205C3E" w:rsidP="006D0546">
      <w:pPr>
        <w:jc w:val="both"/>
      </w:pPr>
      <w:r>
        <w:t>Lõike 3 kohaselt loetakse tegevuskava esitamisega taotlus toetuse saamiseks esitatuks.</w:t>
      </w:r>
    </w:p>
    <w:p w14:paraId="691F9AE3" w14:textId="77777777" w:rsidR="006D0546" w:rsidRDefault="006D0546" w:rsidP="006D0546">
      <w:pPr>
        <w:jc w:val="both"/>
      </w:pPr>
    </w:p>
    <w:p w14:paraId="7C85ECB3" w14:textId="2207DB50" w:rsidR="00205C3E" w:rsidRDefault="00205C3E" w:rsidP="006D0546">
      <w:pPr>
        <w:jc w:val="both"/>
      </w:pPr>
      <w:r w:rsidRPr="00205C3E">
        <w:rPr>
          <w:b/>
        </w:rPr>
        <w:t xml:space="preserve">Eelnõu §-ga </w:t>
      </w:r>
      <w:r w:rsidR="00624287">
        <w:rPr>
          <w:b/>
        </w:rPr>
        <w:t>9</w:t>
      </w:r>
      <w:r>
        <w:t xml:space="preserve"> sätestatakse </w:t>
      </w:r>
      <w:r w:rsidR="00331291">
        <w:t>mesinduskogu ja tegevuskava nõuetele vastavuse kontrollimine</w:t>
      </w:r>
      <w:r>
        <w:t>.</w:t>
      </w:r>
    </w:p>
    <w:p w14:paraId="38D68EA2" w14:textId="77777777" w:rsidR="00205C3E" w:rsidRDefault="00205C3E" w:rsidP="006D0546">
      <w:pPr>
        <w:jc w:val="both"/>
      </w:pPr>
    </w:p>
    <w:p w14:paraId="34152F66" w14:textId="184EFE4E" w:rsidR="00EE581F" w:rsidRDefault="00EA1DA2" w:rsidP="006D0546">
      <w:pPr>
        <w:jc w:val="both"/>
      </w:pPr>
      <w:r>
        <w:t>Lõike 1 kohaselt</w:t>
      </w:r>
      <w:r w:rsidR="00331291">
        <w:t xml:space="preserve"> kontrollib </w:t>
      </w:r>
      <w:r>
        <w:t xml:space="preserve">PRIA </w:t>
      </w:r>
      <w:r w:rsidR="00331291">
        <w:t>tegevuskava</w:t>
      </w:r>
      <w:r>
        <w:t>s</w:t>
      </w:r>
      <w:r w:rsidR="00331291">
        <w:t xml:space="preserve"> esitatud andmete õigsust ning </w:t>
      </w:r>
      <w:r w:rsidR="00331291" w:rsidRPr="00331291">
        <w:t>mesinduskogu ja teg</w:t>
      </w:r>
      <w:r w:rsidR="00331291">
        <w:t>evuskava vastavust EL õigusaktides, ELÜPS-s</w:t>
      </w:r>
      <w:r w:rsidR="00331291" w:rsidRPr="00331291">
        <w:t xml:space="preserve"> ja määruses sätestatud nõuetele</w:t>
      </w:r>
      <w:r w:rsidR="00331291">
        <w:t xml:space="preserve">. </w:t>
      </w:r>
      <w:r w:rsidR="00C23A74">
        <w:t>Juhul kui tegevuskavas või koos tegevuskavaga esitatud dokumentides esinevad puudused või muud ilmsed ebatäpsused, määrab PRIA tegevuskava esitanud mesinduskogule haldusmenetluse seaduse kohaselt tähtaja puuduste kõrvaldamiseks. Kui puudus kõrvaldatakse määratud tähtajaks, loetakse tegevuskava tähtaegsena esitatuks. Kui puudust ei kõrvaldata tähtajaks, võib PRIA jätta tegevuskava läbi vaatamata.</w:t>
      </w:r>
    </w:p>
    <w:p w14:paraId="376CEA88" w14:textId="77777777" w:rsidR="00EE581F" w:rsidRDefault="00EE581F" w:rsidP="006D0546">
      <w:pPr>
        <w:jc w:val="both"/>
      </w:pPr>
    </w:p>
    <w:p w14:paraId="3BD6F4A4" w14:textId="363F99BE" w:rsidR="00EA1DA2" w:rsidRPr="00900DC6" w:rsidRDefault="00EE581F" w:rsidP="00EE581F">
      <w:pPr>
        <w:jc w:val="both"/>
      </w:pPr>
      <w:r>
        <w:t>Lõikes 2 sätestatakse üldise põhimõttena, et</w:t>
      </w:r>
      <w:r w:rsidR="00C23A74">
        <w:t xml:space="preserve"> </w:t>
      </w:r>
      <w:r>
        <w:t>m</w:t>
      </w:r>
      <w:r w:rsidR="00EA1DA2">
        <w:t>esinduskogu</w:t>
      </w:r>
      <w:r w:rsidR="00EA1DA2" w:rsidRPr="00B30E71">
        <w:t xml:space="preserve"> teeb PRIA-le teatavaks kõik </w:t>
      </w:r>
      <w:r w:rsidR="00EA1DA2">
        <w:t xml:space="preserve">menetluses tähtsust omavad </w:t>
      </w:r>
      <w:r w:rsidR="00EA1DA2" w:rsidRPr="00B30E71">
        <w:t>asjaolud</w:t>
      </w:r>
      <w:r w:rsidR="00EA1DA2">
        <w:t xml:space="preserve"> ja teavitab </w:t>
      </w:r>
      <w:r w:rsidR="00EA1DA2" w:rsidRPr="00900DC6">
        <w:t>viivitamata t</w:t>
      </w:r>
      <w:r w:rsidR="00EA1DA2">
        <w:t>egevuskavas</w:t>
      </w:r>
      <w:r w:rsidR="00EA1DA2" w:rsidRPr="00900DC6">
        <w:t xml:space="preserve"> esitatud andmetes toimunud muudatusest või ilmnenud asjaolust, mis võib mõjutada </w:t>
      </w:r>
      <w:r w:rsidR="00EA1DA2">
        <w:t>tegevuskava</w:t>
      </w:r>
      <w:r w:rsidR="00EA1DA2" w:rsidRPr="00900DC6">
        <w:t xml:space="preserve"> kohta otsuse tegemist</w:t>
      </w:r>
      <w:r w:rsidR="00EA1DA2">
        <w:t>.</w:t>
      </w:r>
    </w:p>
    <w:p w14:paraId="37C90806" w14:textId="77777777" w:rsidR="00205C3E" w:rsidRDefault="00205C3E" w:rsidP="006D0546">
      <w:pPr>
        <w:jc w:val="both"/>
      </w:pPr>
    </w:p>
    <w:p w14:paraId="36459031" w14:textId="1EE056CD" w:rsidR="00CA135A" w:rsidRDefault="00331291" w:rsidP="00203811">
      <w:pPr>
        <w:jc w:val="both"/>
      </w:pPr>
      <w:r w:rsidRPr="00331291">
        <w:rPr>
          <w:b/>
        </w:rPr>
        <w:t>Eelnõu §-ga 1</w:t>
      </w:r>
      <w:r w:rsidR="00624287">
        <w:rPr>
          <w:b/>
        </w:rPr>
        <w:t>0</w:t>
      </w:r>
      <w:r>
        <w:t xml:space="preserve"> sätestatakse</w:t>
      </w:r>
      <w:r w:rsidR="004F264B" w:rsidRPr="004F264B">
        <w:t xml:space="preserve"> </w:t>
      </w:r>
      <w:r w:rsidR="004F264B">
        <w:t>t</w:t>
      </w:r>
      <w:r w:rsidR="004F264B" w:rsidRPr="004F264B">
        <w:t>egevuskava hindamine ja tegevuskavade paremusjärjestuse moodustamine</w:t>
      </w:r>
      <w:r w:rsidR="004F264B">
        <w:t>.</w:t>
      </w:r>
    </w:p>
    <w:p w14:paraId="25B9829E" w14:textId="77777777" w:rsidR="00331291" w:rsidRDefault="00331291" w:rsidP="00203811">
      <w:pPr>
        <w:jc w:val="both"/>
      </w:pPr>
    </w:p>
    <w:p w14:paraId="58D4A091" w14:textId="0C3B0B25" w:rsidR="00F17144" w:rsidRDefault="00207D10" w:rsidP="00203811">
      <w:pPr>
        <w:jc w:val="both"/>
      </w:pPr>
      <w:r>
        <w:t>Lõikes 1 sätestatakse</w:t>
      </w:r>
      <w:r w:rsidR="00F17144">
        <w:t>, et PRIA hindab tegevuskavasid lisas sätestatud hindamiskriteeriumite alusel. Toetust saav mesinduskogu selgub hindamise tulemusel saadud hindepunktide kaalutud keskmise alusel moodustatud tegevuskavade paremusjärjestuse põhjal.</w:t>
      </w:r>
      <w:r w:rsidR="00A025CB">
        <w:t xml:space="preserve"> Võrreldes mesindusprogrammidega, kus tegevuskava koostas </w:t>
      </w:r>
      <w:r w:rsidR="008644D0">
        <w:t>ja seda rakendas</w:t>
      </w:r>
      <w:r w:rsidR="00A025CB">
        <w:t xml:space="preserve"> </w:t>
      </w:r>
      <w:r w:rsidR="008644D0">
        <w:t xml:space="preserve">korraga vaid </w:t>
      </w:r>
      <w:r w:rsidR="00A025CB">
        <w:t xml:space="preserve">üks </w:t>
      </w:r>
      <w:r w:rsidR="008644D0">
        <w:t>maaeluministri käskkirjaga programmi elluviimiseks määratud juhtiv mesindusorganisatsioon, on mesindussektori</w:t>
      </w:r>
      <w:r w:rsidR="00B24457">
        <w:t>sse</w:t>
      </w:r>
      <w:r w:rsidR="008644D0">
        <w:t xml:space="preserve"> sekkumise puhul võimalik ühe ja</w:t>
      </w:r>
      <w:r w:rsidR="00685B31">
        <w:t xml:space="preserve"> sama</w:t>
      </w:r>
      <w:r w:rsidR="008644D0">
        <w:t xml:space="preserve"> perioodi kohta kahe või isegi enama mesinduskogu poolt tegevuskava esitamine, kui nõuetele vastavad mesinduskogud</w:t>
      </w:r>
      <w:r w:rsidR="007638B9">
        <w:t xml:space="preserve"> suudetakse moodustada ning nõuetele vastavad tegevuskavad koostada.</w:t>
      </w:r>
      <w:r w:rsidR="008644D0">
        <w:t xml:space="preserve"> </w:t>
      </w:r>
      <w:r w:rsidR="00C45C0C">
        <w:t>Samuti ei olnud mesindusprogrammide puhul tegevuskava hindamiseks konkreetseid kriteeriume</w:t>
      </w:r>
      <w:r w:rsidR="008644D0">
        <w:t xml:space="preserve"> </w:t>
      </w:r>
      <w:r w:rsidR="00C45C0C">
        <w:t>ette sätestatud.</w:t>
      </w:r>
    </w:p>
    <w:p w14:paraId="7020CB37" w14:textId="77777777" w:rsidR="00F17144" w:rsidRDefault="00F17144" w:rsidP="00203811">
      <w:pPr>
        <w:jc w:val="both"/>
      </w:pPr>
    </w:p>
    <w:p w14:paraId="3520F671" w14:textId="66C88EE9" w:rsidR="00912ECA" w:rsidRDefault="00912ECA" w:rsidP="00AA5CAD">
      <w:pPr>
        <w:jc w:val="both"/>
      </w:pPr>
      <w:r>
        <w:t>Lõikes 2 sätestatakse, et tegevuskava hindamiseks ja tegevuskavade paremusjärjestuse moodustamise ettepaneku tegemiseks moodustab PRIA hindamiskomisjoni. H</w:t>
      </w:r>
      <w:r w:rsidR="00B14958">
        <w:t>indamiskomisjon koosneb</w:t>
      </w:r>
      <w:r w:rsidR="00AA5CAD">
        <w:t xml:space="preserve"> vähemalt viiest liikmest, sealhulgas vähemalt üks liige peab olema Maaeluministeeriumi ja üks liige PRIA esindaja. Sõltumatuse tagamiseks võib kaasata </w:t>
      </w:r>
      <w:r w:rsidR="006815B0">
        <w:t xml:space="preserve">näiteks </w:t>
      </w:r>
      <w:r w:rsidR="00AA5CAD">
        <w:t>teiste ministeeriumite, ametiasutuste, teadus- ja haridusasutuste</w:t>
      </w:r>
      <w:r w:rsidR="006815B0">
        <w:t xml:space="preserve"> esindajaid. Õigus on kaasata hindamisse ka eksperte, sealhulgas mesindussektori eksperte</w:t>
      </w:r>
      <w:r w:rsidR="00AA5CAD">
        <w:t xml:space="preserve">. Eksperdid ei pea olema kogu aeg hindamiskomisjoni töösse kaasatud ning võivad eksperthinnangud esitada ka kirjalikult või elektroonselt. </w:t>
      </w:r>
      <w:r w:rsidR="00C45C0C">
        <w:t>Mesindusprogrammide rakendamise puhul määras tegevuskava hindava hindamiskomisjoni maaeluminister käskkirjaga. Tavapäras</w:t>
      </w:r>
      <w:r w:rsidR="001D2508">
        <w:t>elt kuulusid hindamiskomisjoni M</w:t>
      </w:r>
      <w:r w:rsidR="00C45C0C">
        <w:t>aaeluministeeriumi, PRIA, Põllumajandus- ja Toiduameti</w:t>
      </w:r>
      <w:r w:rsidR="004C7DEC">
        <w:t xml:space="preserve"> ning erinevate mesindusorganisatsioonide esindajad.</w:t>
      </w:r>
      <w:r w:rsidR="00C45C0C">
        <w:t xml:space="preserve"> </w:t>
      </w:r>
    </w:p>
    <w:p w14:paraId="654423ED" w14:textId="77777777" w:rsidR="00FB7EA5" w:rsidRDefault="00FB7EA5" w:rsidP="00AA5CAD">
      <w:pPr>
        <w:jc w:val="both"/>
      </w:pPr>
    </w:p>
    <w:p w14:paraId="4C9B1176" w14:textId="6DD18FAE" w:rsidR="00AA5CAD" w:rsidRDefault="00AA5CAD" w:rsidP="00AA5CAD">
      <w:pPr>
        <w:jc w:val="both"/>
      </w:pPr>
      <w:r>
        <w:t>Moodusta</w:t>
      </w:r>
      <w:r w:rsidR="007B43A8">
        <w:t xml:space="preserve">des hindamiskomisjoni, tuleb </w:t>
      </w:r>
      <w:r>
        <w:t>PRIA</w:t>
      </w:r>
      <w:r w:rsidR="00A025CB">
        <w:t>-</w:t>
      </w:r>
      <w:r>
        <w:t>l koostada hindamiskomisjoni töökorraldus, tööjuhend või protseduurireeglid. Hindamiskomisjoni liikmed ja eksperdid peavad deklareerima oma sõltumatust hinn</w:t>
      </w:r>
      <w:r w:rsidR="006815B0">
        <w:t>atavatest tegevustest, mesinduskogust</w:t>
      </w:r>
      <w:r>
        <w:t>, tema liikmetest ja partneritest. Erapooletus tähendab, et komisjoni liikmel ei tohi olla omandi-, sugulus- või muid olulisi sidemeid tegevuskava esitanud isiku, liikme või partneriga või tegevuskava ettevalmistamisega. Seotuse olemasolu korral on isik kohustatud ennast taandama kõikidest tegevuskavade hindamistest. PRIA võib komisjoni liikmetega sõlmida lepingu (nt töövõtuleping), mille raames võib kokku leppida kõikides vajalikes tingimustes. Lepingus peab olema sees erapooletuse ning konfidentsiaalsuse klausel.</w:t>
      </w:r>
    </w:p>
    <w:p w14:paraId="4CCE1D29" w14:textId="77777777" w:rsidR="00CA135A" w:rsidRDefault="00CA135A" w:rsidP="00203811">
      <w:pPr>
        <w:jc w:val="both"/>
      </w:pPr>
    </w:p>
    <w:p w14:paraId="1A418424" w14:textId="63DE4968" w:rsidR="00CA135A" w:rsidRDefault="0014656F" w:rsidP="00203811">
      <w:pPr>
        <w:jc w:val="both"/>
      </w:pPr>
      <w:r>
        <w:t xml:space="preserve">Lõikes 3 </w:t>
      </w:r>
      <w:r w:rsidR="00D908D0">
        <w:t>an</w:t>
      </w:r>
      <w:r w:rsidR="003569F9">
        <w:t xml:space="preserve">takse tegevuskava </w:t>
      </w:r>
      <w:r w:rsidR="007045B1">
        <w:t xml:space="preserve">hindamise </w:t>
      </w:r>
      <w:r w:rsidR="00D908D0">
        <w:t>arvutamiskäik</w:t>
      </w:r>
      <w:r w:rsidR="007045B1">
        <w:t>. Tegevuskava hinnatakse vastavalt määruses ja selle lisas kehtestatud hindamiskriteeriumitele. Iga hindamiskriteeriumi puhul annab iga hindamiskomisjoni liige hindepunkte skaalal 0–4. Kõikide hindamiskomisjoni liikmete kõik hinded liidetakse iga hindamiskriteeriumi puhul kokku ja saadakse iga hindamiskriteeriumi koondhinne</w:t>
      </w:r>
      <w:r w:rsidR="00D908D0">
        <w:t xml:space="preserve">. Iga hindamiskriteeriumi koondhinne korrutatakse läbi igale hindamiskriteeriumile </w:t>
      </w:r>
      <w:r w:rsidR="00D908D0">
        <w:lastRenderedPageBreak/>
        <w:t xml:space="preserve">määratud osakaaluga. Kõik osakaaluga läbi korrutatud koondhinde </w:t>
      </w:r>
      <w:r w:rsidR="007F7DA5">
        <w:t xml:space="preserve">(kaalutud koondhinne) </w:t>
      </w:r>
      <w:r w:rsidR="00D908D0">
        <w:t xml:space="preserve">punktid liidetakse kokku ja jagatakse tegevuskavasid hinnanud hindamiskomisjoni liikmete arvuga ning saadakse </w:t>
      </w:r>
      <w:r w:rsidR="007F7DA5">
        <w:t xml:space="preserve">tegevuskava hindepunktide </w:t>
      </w:r>
      <w:r w:rsidR="00D908D0">
        <w:t xml:space="preserve">kaalutud keskmine. </w:t>
      </w:r>
      <w:r w:rsidR="007F7DA5">
        <w:t>Tegevuskava hindepunktide k</w:t>
      </w:r>
      <w:r w:rsidR="00D908D0">
        <w:t>aalutud keskmise</w:t>
      </w:r>
      <w:r w:rsidR="00943E47">
        <w:t>, mis arvestatakse täpsusega kaks kohta peale koma,</w:t>
      </w:r>
      <w:r w:rsidR="00D908D0">
        <w:t xml:space="preserve"> alusel moodustub paremusjärjestus</w:t>
      </w:r>
      <w:r w:rsidR="00943E47">
        <w:t>.</w:t>
      </w:r>
      <w:r w:rsidR="007045B1">
        <w:t xml:space="preserve"> </w:t>
      </w:r>
    </w:p>
    <w:p w14:paraId="5E770F2D" w14:textId="77777777" w:rsidR="00B87AC5" w:rsidRDefault="00B87AC5" w:rsidP="004F264B">
      <w:pPr>
        <w:rPr>
          <w:b/>
        </w:rPr>
      </w:pPr>
    </w:p>
    <w:p w14:paraId="188E10BC" w14:textId="2C0FE3F5" w:rsidR="00B87AC5" w:rsidRPr="00943E47" w:rsidRDefault="00943E47" w:rsidP="004F264B">
      <w:r>
        <w:t xml:space="preserve">Näide </w:t>
      </w:r>
      <w:r w:rsidR="007F7DA5">
        <w:t xml:space="preserve">tegevuskava </w:t>
      </w:r>
      <w:r>
        <w:t>h</w:t>
      </w:r>
      <w:r w:rsidRPr="00943E47">
        <w:t>indepunktide ka</w:t>
      </w:r>
      <w:r>
        <w:t>alutud keskmise arvutamise</w:t>
      </w:r>
      <w:r w:rsidR="00D93210">
        <w:t xml:space="preserve"> </w:t>
      </w:r>
      <w:r>
        <w:t>kohta:</w:t>
      </w:r>
    </w:p>
    <w:p w14:paraId="1D24B88B" w14:textId="77777777" w:rsidR="00A67B28" w:rsidRPr="001F7B1A" w:rsidRDefault="00A67B28" w:rsidP="004F264B"/>
    <w:tbl>
      <w:tblPr>
        <w:tblStyle w:val="TableGrid"/>
        <w:tblW w:w="0" w:type="auto"/>
        <w:tblLook w:val="04A0" w:firstRow="1" w:lastRow="0" w:firstColumn="1" w:lastColumn="0" w:noHBand="0" w:noVBand="1"/>
      </w:tblPr>
      <w:tblGrid>
        <w:gridCol w:w="1039"/>
        <w:gridCol w:w="971"/>
        <w:gridCol w:w="961"/>
        <w:gridCol w:w="961"/>
        <w:gridCol w:w="961"/>
        <w:gridCol w:w="961"/>
        <w:gridCol w:w="961"/>
        <w:gridCol w:w="1105"/>
        <w:gridCol w:w="1327"/>
      </w:tblGrid>
      <w:tr w:rsidR="00A95BB7" w:rsidRPr="001F7B1A" w14:paraId="0CDC2BFB" w14:textId="77777777" w:rsidTr="0091310E">
        <w:tc>
          <w:tcPr>
            <w:tcW w:w="2052" w:type="dxa"/>
            <w:gridSpan w:val="2"/>
          </w:tcPr>
          <w:p w14:paraId="24C86179" w14:textId="77777777" w:rsidR="009C06AB" w:rsidRPr="001F7B1A" w:rsidRDefault="009C06AB" w:rsidP="004F264B">
            <w:pPr>
              <w:rPr>
                <w:sz w:val="20"/>
                <w:szCs w:val="20"/>
              </w:rPr>
            </w:pPr>
          </w:p>
        </w:tc>
        <w:tc>
          <w:tcPr>
            <w:tcW w:w="995" w:type="dxa"/>
          </w:tcPr>
          <w:p w14:paraId="3650228B" w14:textId="77777777" w:rsidR="009C06AB" w:rsidRPr="001F7B1A" w:rsidRDefault="009C06AB" w:rsidP="004A0819">
            <w:pPr>
              <w:rPr>
                <w:sz w:val="20"/>
                <w:szCs w:val="20"/>
              </w:rPr>
            </w:pPr>
            <w:r w:rsidRPr="001F7B1A">
              <w:rPr>
                <w:sz w:val="20"/>
                <w:szCs w:val="20"/>
              </w:rPr>
              <w:t>Hindaja 1</w:t>
            </w:r>
          </w:p>
        </w:tc>
        <w:tc>
          <w:tcPr>
            <w:tcW w:w="995" w:type="dxa"/>
          </w:tcPr>
          <w:p w14:paraId="3B4A0231" w14:textId="77777777" w:rsidR="009C06AB" w:rsidRPr="001F7B1A" w:rsidRDefault="009C06AB" w:rsidP="004A0819">
            <w:pPr>
              <w:rPr>
                <w:sz w:val="20"/>
                <w:szCs w:val="20"/>
              </w:rPr>
            </w:pPr>
            <w:r w:rsidRPr="001F7B1A">
              <w:rPr>
                <w:sz w:val="20"/>
                <w:szCs w:val="20"/>
              </w:rPr>
              <w:t>Hindaja 2</w:t>
            </w:r>
          </w:p>
        </w:tc>
        <w:tc>
          <w:tcPr>
            <w:tcW w:w="995" w:type="dxa"/>
          </w:tcPr>
          <w:p w14:paraId="2142E785" w14:textId="77777777" w:rsidR="009C06AB" w:rsidRPr="001F7B1A" w:rsidRDefault="009C06AB" w:rsidP="004A0819">
            <w:pPr>
              <w:rPr>
                <w:sz w:val="20"/>
                <w:szCs w:val="20"/>
              </w:rPr>
            </w:pPr>
            <w:r w:rsidRPr="001F7B1A">
              <w:rPr>
                <w:sz w:val="20"/>
                <w:szCs w:val="20"/>
              </w:rPr>
              <w:t>Hindaja 3</w:t>
            </w:r>
          </w:p>
        </w:tc>
        <w:tc>
          <w:tcPr>
            <w:tcW w:w="996" w:type="dxa"/>
          </w:tcPr>
          <w:p w14:paraId="1EB8AB5E" w14:textId="77777777" w:rsidR="009C06AB" w:rsidRPr="001F7B1A" w:rsidRDefault="009C06AB" w:rsidP="004A0819">
            <w:pPr>
              <w:rPr>
                <w:sz w:val="20"/>
                <w:szCs w:val="20"/>
              </w:rPr>
            </w:pPr>
            <w:r>
              <w:rPr>
                <w:sz w:val="20"/>
                <w:szCs w:val="20"/>
              </w:rPr>
              <w:t>Hindaja 4</w:t>
            </w:r>
          </w:p>
        </w:tc>
        <w:tc>
          <w:tcPr>
            <w:tcW w:w="996" w:type="dxa"/>
          </w:tcPr>
          <w:p w14:paraId="2D92E4A8" w14:textId="77777777" w:rsidR="009C06AB" w:rsidRPr="001F7B1A" w:rsidRDefault="009C06AB" w:rsidP="004A0819">
            <w:pPr>
              <w:rPr>
                <w:sz w:val="20"/>
                <w:szCs w:val="20"/>
              </w:rPr>
            </w:pPr>
            <w:r>
              <w:rPr>
                <w:sz w:val="20"/>
                <w:szCs w:val="20"/>
              </w:rPr>
              <w:t>Hindaja 5</w:t>
            </w:r>
          </w:p>
        </w:tc>
        <w:tc>
          <w:tcPr>
            <w:tcW w:w="1013" w:type="dxa"/>
          </w:tcPr>
          <w:p w14:paraId="51DC16C7" w14:textId="77777777" w:rsidR="004535EC" w:rsidRDefault="004535EC" w:rsidP="004A0819">
            <w:pPr>
              <w:rPr>
                <w:sz w:val="20"/>
                <w:szCs w:val="20"/>
              </w:rPr>
            </w:pPr>
            <w:r>
              <w:rPr>
                <w:sz w:val="20"/>
                <w:szCs w:val="20"/>
              </w:rPr>
              <w:t>Hindamis- kriteeriumi</w:t>
            </w:r>
          </w:p>
          <w:p w14:paraId="775ABAA6" w14:textId="17F9CD79" w:rsidR="009C06AB" w:rsidRPr="001F7B1A" w:rsidRDefault="009C06AB" w:rsidP="004A0819">
            <w:pPr>
              <w:rPr>
                <w:sz w:val="20"/>
                <w:szCs w:val="20"/>
              </w:rPr>
            </w:pPr>
            <w:r>
              <w:rPr>
                <w:sz w:val="20"/>
                <w:szCs w:val="20"/>
              </w:rPr>
              <w:t>KO</w:t>
            </w:r>
            <w:r w:rsidR="004535EC">
              <w:rPr>
                <w:sz w:val="20"/>
                <w:szCs w:val="20"/>
              </w:rPr>
              <w:t>OND-HINNE</w:t>
            </w:r>
          </w:p>
        </w:tc>
        <w:tc>
          <w:tcPr>
            <w:tcW w:w="1205" w:type="dxa"/>
          </w:tcPr>
          <w:p w14:paraId="6EB7664B" w14:textId="0735B07C" w:rsidR="009C06AB" w:rsidRPr="001F7B1A" w:rsidRDefault="0084143E" w:rsidP="004A0819">
            <w:pPr>
              <w:rPr>
                <w:sz w:val="20"/>
                <w:szCs w:val="20"/>
              </w:rPr>
            </w:pPr>
            <w:r>
              <w:rPr>
                <w:sz w:val="20"/>
                <w:szCs w:val="20"/>
              </w:rPr>
              <w:t xml:space="preserve">Hindamis- kriteeriumi </w:t>
            </w:r>
            <w:r w:rsidR="00A95BB7">
              <w:rPr>
                <w:sz w:val="20"/>
                <w:szCs w:val="20"/>
              </w:rPr>
              <w:t xml:space="preserve">KAALUTUD </w:t>
            </w:r>
            <w:r w:rsidR="009C06AB">
              <w:rPr>
                <w:sz w:val="20"/>
                <w:szCs w:val="20"/>
              </w:rPr>
              <w:t>KO</w:t>
            </w:r>
            <w:r w:rsidR="00A95BB7">
              <w:rPr>
                <w:sz w:val="20"/>
                <w:szCs w:val="20"/>
              </w:rPr>
              <w:t>OND- HINNE</w:t>
            </w:r>
          </w:p>
        </w:tc>
      </w:tr>
      <w:tr w:rsidR="0084143E" w:rsidRPr="001F7B1A" w14:paraId="234828EB" w14:textId="77777777" w:rsidTr="0091310E">
        <w:tc>
          <w:tcPr>
            <w:tcW w:w="1040" w:type="dxa"/>
            <w:shd w:val="clear" w:color="auto" w:fill="D9D9D9" w:themeFill="background1" w:themeFillShade="D9"/>
          </w:tcPr>
          <w:p w14:paraId="759002D7" w14:textId="77777777" w:rsidR="009C06AB" w:rsidRDefault="00A467BE" w:rsidP="004F264B">
            <w:pPr>
              <w:rPr>
                <w:sz w:val="20"/>
                <w:szCs w:val="20"/>
              </w:rPr>
            </w:pPr>
            <w:r>
              <w:rPr>
                <w:sz w:val="20"/>
                <w:szCs w:val="20"/>
              </w:rPr>
              <w:t>HK</w:t>
            </w:r>
          </w:p>
          <w:p w14:paraId="30C9D6F6" w14:textId="77777777" w:rsidR="00A467BE" w:rsidRPr="001F7B1A" w:rsidRDefault="00A467BE" w:rsidP="004F264B">
            <w:pPr>
              <w:rPr>
                <w:sz w:val="20"/>
                <w:szCs w:val="20"/>
              </w:rPr>
            </w:pPr>
            <w:r>
              <w:rPr>
                <w:sz w:val="20"/>
                <w:szCs w:val="20"/>
              </w:rPr>
              <w:t>osatähtsus</w:t>
            </w:r>
          </w:p>
        </w:tc>
        <w:tc>
          <w:tcPr>
            <w:tcW w:w="1012" w:type="dxa"/>
            <w:shd w:val="clear" w:color="auto" w:fill="D9D9D9" w:themeFill="background1" w:themeFillShade="D9"/>
          </w:tcPr>
          <w:p w14:paraId="4A4861B9" w14:textId="77777777" w:rsidR="009C06AB" w:rsidRPr="001F7B1A" w:rsidRDefault="009C06AB" w:rsidP="004F264B">
            <w:pPr>
              <w:rPr>
                <w:sz w:val="20"/>
                <w:szCs w:val="20"/>
              </w:rPr>
            </w:pPr>
            <w:r w:rsidRPr="001F7B1A">
              <w:rPr>
                <w:sz w:val="20"/>
                <w:szCs w:val="20"/>
              </w:rPr>
              <w:t>Punktid</w:t>
            </w:r>
          </w:p>
        </w:tc>
        <w:tc>
          <w:tcPr>
            <w:tcW w:w="7195" w:type="dxa"/>
            <w:gridSpan w:val="7"/>
            <w:shd w:val="clear" w:color="auto" w:fill="D9D9D9" w:themeFill="background1" w:themeFillShade="D9"/>
          </w:tcPr>
          <w:p w14:paraId="55D9E58D" w14:textId="77777777" w:rsidR="009C06AB" w:rsidRPr="001F7B1A" w:rsidRDefault="009C06AB" w:rsidP="004F264B">
            <w:pPr>
              <w:rPr>
                <w:sz w:val="20"/>
                <w:szCs w:val="20"/>
              </w:rPr>
            </w:pPr>
          </w:p>
        </w:tc>
      </w:tr>
      <w:tr w:rsidR="0084143E" w:rsidRPr="001F7B1A" w14:paraId="512B0D6A" w14:textId="77777777" w:rsidTr="0091310E">
        <w:tc>
          <w:tcPr>
            <w:tcW w:w="1040" w:type="dxa"/>
          </w:tcPr>
          <w:p w14:paraId="225678EB" w14:textId="77777777" w:rsidR="00943E47" w:rsidRPr="001F7B1A" w:rsidRDefault="001F7B1A" w:rsidP="001F7B1A">
            <w:pPr>
              <w:rPr>
                <w:sz w:val="20"/>
                <w:szCs w:val="20"/>
              </w:rPr>
            </w:pPr>
            <w:r w:rsidRPr="001F7B1A">
              <w:rPr>
                <w:sz w:val="20"/>
                <w:szCs w:val="20"/>
              </w:rPr>
              <w:t>1) 40%</w:t>
            </w:r>
          </w:p>
        </w:tc>
        <w:tc>
          <w:tcPr>
            <w:tcW w:w="1012" w:type="dxa"/>
          </w:tcPr>
          <w:p w14:paraId="6A699607" w14:textId="77777777" w:rsidR="00943E47" w:rsidRPr="001F7B1A" w:rsidRDefault="001A79CE" w:rsidP="004F264B">
            <w:pPr>
              <w:rPr>
                <w:sz w:val="20"/>
                <w:szCs w:val="20"/>
              </w:rPr>
            </w:pPr>
            <w:r>
              <w:rPr>
                <w:sz w:val="20"/>
                <w:szCs w:val="20"/>
              </w:rPr>
              <w:t>0-4</w:t>
            </w:r>
          </w:p>
        </w:tc>
        <w:tc>
          <w:tcPr>
            <w:tcW w:w="995" w:type="dxa"/>
          </w:tcPr>
          <w:p w14:paraId="6FAD6F65" w14:textId="77777777" w:rsidR="00943E47" w:rsidRPr="001F7B1A" w:rsidRDefault="00981706" w:rsidP="00981706">
            <w:pPr>
              <w:jc w:val="center"/>
              <w:rPr>
                <w:sz w:val="20"/>
                <w:szCs w:val="20"/>
              </w:rPr>
            </w:pPr>
            <w:r>
              <w:rPr>
                <w:sz w:val="20"/>
                <w:szCs w:val="20"/>
              </w:rPr>
              <w:t>4</w:t>
            </w:r>
          </w:p>
        </w:tc>
        <w:tc>
          <w:tcPr>
            <w:tcW w:w="995" w:type="dxa"/>
          </w:tcPr>
          <w:p w14:paraId="6B976243" w14:textId="77777777" w:rsidR="00943E47" w:rsidRPr="001F7B1A" w:rsidRDefault="00981706" w:rsidP="00981706">
            <w:pPr>
              <w:jc w:val="center"/>
              <w:rPr>
                <w:sz w:val="20"/>
                <w:szCs w:val="20"/>
              </w:rPr>
            </w:pPr>
            <w:r>
              <w:rPr>
                <w:sz w:val="20"/>
                <w:szCs w:val="20"/>
              </w:rPr>
              <w:t>2</w:t>
            </w:r>
          </w:p>
        </w:tc>
        <w:tc>
          <w:tcPr>
            <w:tcW w:w="995" w:type="dxa"/>
          </w:tcPr>
          <w:p w14:paraId="29A185D3" w14:textId="77777777" w:rsidR="00943E47" w:rsidRPr="001F7B1A" w:rsidRDefault="00981706" w:rsidP="00981706">
            <w:pPr>
              <w:jc w:val="center"/>
              <w:rPr>
                <w:sz w:val="20"/>
                <w:szCs w:val="20"/>
              </w:rPr>
            </w:pPr>
            <w:r>
              <w:rPr>
                <w:sz w:val="20"/>
                <w:szCs w:val="20"/>
              </w:rPr>
              <w:t>3</w:t>
            </w:r>
          </w:p>
        </w:tc>
        <w:tc>
          <w:tcPr>
            <w:tcW w:w="996" w:type="dxa"/>
          </w:tcPr>
          <w:p w14:paraId="3497AF44" w14:textId="77777777" w:rsidR="00943E47" w:rsidRPr="001F7B1A" w:rsidRDefault="00981706" w:rsidP="00981706">
            <w:pPr>
              <w:jc w:val="center"/>
              <w:rPr>
                <w:sz w:val="20"/>
                <w:szCs w:val="20"/>
              </w:rPr>
            </w:pPr>
            <w:r>
              <w:rPr>
                <w:sz w:val="20"/>
                <w:szCs w:val="20"/>
              </w:rPr>
              <w:t>2</w:t>
            </w:r>
          </w:p>
        </w:tc>
        <w:tc>
          <w:tcPr>
            <w:tcW w:w="996" w:type="dxa"/>
          </w:tcPr>
          <w:p w14:paraId="3A2BA5B6" w14:textId="77777777" w:rsidR="00943E47" w:rsidRPr="001F7B1A" w:rsidRDefault="001A79CE" w:rsidP="00981706">
            <w:pPr>
              <w:jc w:val="center"/>
              <w:rPr>
                <w:sz w:val="20"/>
                <w:szCs w:val="20"/>
              </w:rPr>
            </w:pPr>
            <w:r>
              <w:rPr>
                <w:sz w:val="20"/>
                <w:szCs w:val="20"/>
              </w:rPr>
              <w:t>2</w:t>
            </w:r>
          </w:p>
        </w:tc>
        <w:tc>
          <w:tcPr>
            <w:tcW w:w="1013" w:type="dxa"/>
          </w:tcPr>
          <w:p w14:paraId="37810112" w14:textId="77777777" w:rsidR="00943E47" w:rsidRPr="001F7B1A" w:rsidRDefault="001A79CE" w:rsidP="00981706">
            <w:pPr>
              <w:jc w:val="center"/>
              <w:rPr>
                <w:sz w:val="20"/>
                <w:szCs w:val="20"/>
              </w:rPr>
            </w:pPr>
            <w:r>
              <w:rPr>
                <w:sz w:val="20"/>
                <w:szCs w:val="20"/>
              </w:rPr>
              <w:t>13</w:t>
            </w:r>
          </w:p>
        </w:tc>
        <w:tc>
          <w:tcPr>
            <w:tcW w:w="1205" w:type="dxa"/>
          </w:tcPr>
          <w:p w14:paraId="6B12F417" w14:textId="77777777" w:rsidR="00943E47" w:rsidRPr="001F7B1A" w:rsidRDefault="004A0819" w:rsidP="00981706">
            <w:pPr>
              <w:jc w:val="center"/>
              <w:rPr>
                <w:sz w:val="20"/>
                <w:szCs w:val="20"/>
              </w:rPr>
            </w:pPr>
            <w:r>
              <w:rPr>
                <w:sz w:val="20"/>
                <w:szCs w:val="20"/>
              </w:rPr>
              <w:t>5,2</w:t>
            </w:r>
          </w:p>
        </w:tc>
      </w:tr>
      <w:tr w:rsidR="0084143E" w:rsidRPr="001F7B1A" w14:paraId="1C196A5F" w14:textId="77777777" w:rsidTr="0091310E">
        <w:tc>
          <w:tcPr>
            <w:tcW w:w="1040" w:type="dxa"/>
          </w:tcPr>
          <w:p w14:paraId="7BAE8D78" w14:textId="77777777" w:rsidR="00943E47" w:rsidRPr="001F7B1A" w:rsidRDefault="001F7B1A" w:rsidP="004F264B">
            <w:pPr>
              <w:rPr>
                <w:sz w:val="20"/>
                <w:szCs w:val="20"/>
              </w:rPr>
            </w:pPr>
            <w:r w:rsidRPr="001F7B1A">
              <w:rPr>
                <w:sz w:val="20"/>
                <w:szCs w:val="20"/>
              </w:rPr>
              <w:t>2) 30%</w:t>
            </w:r>
          </w:p>
        </w:tc>
        <w:tc>
          <w:tcPr>
            <w:tcW w:w="1012" w:type="dxa"/>
          </w:tcPr>
          <w:p w14:paraId="72763F5C" w14:textId="77777777" w:rsidR="00943E47" w:rsidRPr="001F7B1A" w:rsidRDefault="001A79CE" w:rsidP="004F264B">
            <w:pPr>
              <w:rPr>
                <w:sz w:val="20"/>
                <w:szCs w:val="20"/>
              </w:rPr>
            </w:pPr>
            <w:r>
              <w:rPr>
                <w:sz w:val="20"/>
                <w:szCs w:val="20"/>
              </w:rPr>
              <w:t>0-4</w:t>
            </w:r>
          </w:p>
        </w:tc>
        <w:tc>
          <w:tcPr>
            <w:tcW w:w="995" w:type="dxa"/>
          </w:tcPr>
          <w:p w14:paraId="3D69958C" w14:textId="77777777" w:rsidR="00943E47" w:rsidRPr="001F7B1A" w:rsidRDefault="001A79CE" w:rsidP="00981706">
            <w:pPr>
              <w:jc w:val="center"/>
              <w:rPr>
                <w:sz w:val="20"/>
                <w:szCs w:val="20"/>
              </w:rPr>
            </w:pPr>
            <w:r>
              <w:rPr>
                <w:sz w:val="20"/>
                <w:szCs w:val="20"/>
              </w:rPr>
              <w:t>3</w:t>
            </w:r>
          </w:p>
        </w:tc>
        <w:tc>
          <w:tcPr>
            <w:tcW w:w="995" w:type="dxa"/>
          </w:tcPr>
          <w:p w14:paraId="169AEFB5" w14:textId="77777777" w:rsidR="00943E47" w:rsidRPr="001F7B1A" w:rsidRDefault="001A79CE" w:rsidP="00981706">
            <w:pPr>
              <w:jc w:val="center"/>
              <w:rPr>
                <w:sz w:val="20"/>
                <w:szCs w:val="20"/>
              </w:rPr>
            </w:pPr>
            <w:r>
              <w:rPr>
                <w:sz w:val="20"/>
                <w:szCs w:val="20"/>
              </w:rPr>
              <w:t>4</w:t>
            </w:r>
          </w:p>
        </w:tc>
        <w:tc>
          <w:tcPr>
            <w:tcW w:w="995" w:type="dxa"/>
          </w:tcPr>
          <w:p w14:paraId="50EAB00B" w14:textId="77777777" w:rsidR="00943E47" w:rsidRPr="001F7B1A" w:rsidRDefault="001A79CE" w:rsidP="00981706">
            <w:pPr>
              <w:jc w:val="center"/>
              <w:rPr>
                <w:sz w:val="20"/>
                <w:szCs w:val="20"/>
              </w:rPr>
            </w:pPr>
            <w:r>
              <w:rPr>
                <w:sz w:val="20"/>
                <w:szCs w:val="20"/>
              </w:rPr>
              <w:t>1</w:t>
            </w:r>
          </w:p>
        </w:tc>
        <w:tc>
          <w:tcPr>
            <w:tcW w:w="996" w:type="dxa"/>
          </w:tcPr>
          <w:p w14:paraId="5670862A" w14:textId="77777777" w:rsidR="00943E47" w:rsidRPr="001F7B1A" w:rsidRDefault="001A79CE" w:rsidP="00981706">
            <w:pPr>
              <w:jc w:val="center"/>
              <w:rPr>
                <w:sz w:val="20"/>
                <w:szCs w:val="20"/>
              </w:rPr>
            </w:pPr>
            <w:r>
              <w:rPr>
                <w:sz w:val="20"/>
                <w:szCs w:val="20"/>
              </w:rPr>
              <w:t>3</w:t>
            </w:r>
          </w:p>
        </w:tc>
        <w:tc>
          <w:tcPr>
            <w:tcW w:w="996" w:type="dxa"/>
          </w:tcPr>
          <w:p w14:paraId="35D7CFE0" w14:textId="77777777" w:rsidR="00943E47" w:rsidRPr="001F7B1A" w:rsidRDefault="001A79CE" w:rsidP="00981706">
            <w:pPr>
              <w:jc w:val="center"/>
              <w:rPr>
                <w:sz w:val="20"/>
                <w:szCs w:val="20"/>
              </w:rPr>
            </w:pPr>
            <w:r>
              <w:rPr>
                <w:sz w:val="20"/>
                <w:szCs w:val="20"/>
              </w:rPr>
              <w:t>2</w:t>
            </w:r>
          </w:p>
        </w:tc>
        <w:tc>
          <w:tcPr>
            <w:tcW w:w="1013" w:type="dxa"/>
          </w:tcPr>
          <w:p w14:paraId="334E9D51" w14:textId="77777777" w:rsidR="00943E47" w:rsidRPr="001F7B1A" w:rsidRDefault="001A79CE" w:rsidP="00981706">
            <w:pPr>
              <w:jc w:val="center"/>
              <w:rPr>
                <w:sz w:val="20"/>
                <w:szCs w:val="20"/>
              </w:rPr>
            </w:pPr>
            <w:r>
              <w:rPr>
                <w:sz w:val="20"/>
                <w:szCs w:val="20"/>
              </w:rPr>
              <w:t>13</w:t>
            </w:r>
          </w:p>
        </w:tc>
        <w:tc>
          <w:tcPr>
            <w:tcW w:w="1205" w:type="dxa"/>
          </w:tcPr>
          <w:p w14:paraId="69F5F734" w14:textId="77777777" w:rsidR="00943E47" w:rsidRPr="001F7B1A" w:rsidRDefault="004A0819" w:rsidP="00981706">
            <w:pPr>
              <w:jc w:val="center"/>
              <w:rPr>
                <w:sz w:val="20"/>
                <w:szCs w:val="20"/>
              </w:rPr>
            </w:pPr>
            <w:r>
              <w:rPr>
                <w:sz w:val="20"/>
                <w:szCs w:val="20"/>
              </w:rPr>
              <w:t>3,9</w:t>
            </w:r>
          </w:p>
        </w:tc>
      </w:tr>
      <w:tr w:rsidR="0084143E" w:rsidRPr="001F7B1A" w14:paraId="3B704E5B" w14:textId="77777777" w:rsidTr="0091310E">
        <w:tc>
          <w:tcPr>
            <w:tcW w:w="1040" w:type="dxa"/>
          </w:tcPr>
          <w:p w14:paraId="1612883E" w14:textId="77777777" w:rsidR="00943E47" w:rsidRPr="001F7B1A" w:rsidRDefault="001F7B1A" w:rsidP="004F264B">
            <w:pPr>
              <w:rPr>
                <w:sz w:val="20"/>
                <w:szCs w:val="20"/>
              </w:rPr>
            </w:pPr>
            <w:r w:rsidRPr="001F7B1A">
              <w:rPr>
                <w:sz w:val="20"/>
                <w:szCs w:val="20"/>
              </w:rPr>
              <w:t>3) 20%</w:t>
            </w:r>
          </w:p>
        </w:tc>
        <w:tc>
          <w:tcPr>
            <w:tcW w:w="1012" w:type="dxa"/>
          </w:tcPr>
          <w:p w14:paraId="6001822C" w14:textId="77777777" w:rsidR="00943E47" w:rsidRPr="001F7B1A" w:rsidRDefault="001A79CE" w:rsidP="004F264B">
            <w:pPr>
              <w:rPr>
                <w:sz w:val="20"/>
                <w:szCs w:val="20"/>
              </w:rPr>
            </w:pPr>
            <w:r>
              <w:rPr>
                <w:sz w:val="20"/>
                <w:szCs w:val="20"/>
              </w:rPr>
              <w:t>0-4</w:t>
            </w:r>
          </w:p>
        </w:tc>
        <w:tc>
          <w:tcPr>
            <w:tcW w:w="995" w:type="dxa"/>
          </w:tcPr>
          <w:p w14:paraId="34EBAF0C" w14:textId="77777777" w:rsidR="00943E47" w:rsidRPr="001F7B1A" w:rsidRDefault="001A79CE" w:rsidP="00981706">
            <w:pPr>
              <w:jc w:val="center"/>
              <w:rPr>
                <w:sz w:val="20"/>
                <w:szCs w:val="20"/>
              </w:rPr>
            </w:pPr>
            <w:r>
              <w:rPr>
                <w:sz w:val="20"/>
                <w:szCs w:val="20"/>
              </w:rPr>
              <w:t>2</w:t>
            </w:r>
          </w:p>
        </w:tc>
        <w:tc>
          <w:tcPr>
            <w:tcW w:w="995" w:type="dxa"/>
          </w:tcPr>
          <w:p w14:paraId="50A729C3" w14:textId="77777777" w:rsidR="00943E47" w:rsidRPr="001F7B1A" w:rsidRDefault="001A79CE" w:rsidP="00981706">
            <w:pPr>
              <w:jc w:val="center"/>
              <w:rPr>
                <w:sz w:val="20"/>
                <w:szCs w:val="20"/>
              </w:rPr>
            </w:pPr>
            <w:r>
              <w:rPr>
                <w:sz w:val="20"/>
                <w:szCs w:val="20"/>
              </w:rPr>
              <w:t>0</w:t>
            </w:r>
          </w:p>
        </w:tc>
        <w:tc>
          <w:tcPr>
            <w:tcW w:w="995" w:type="dxa"/>
          </w:tcPr>
          <w:p w14:paraId="37FA05D7" w14:textId="77777777" w:rsidR="00943E47" w:rsidRPr="001F7B1A" w:rsidRDefault="001A79CE" w:rsidP="00981706">
            <w:pPr>
              <w:jc w:val="center"/>
              <w:rPr>
                <w:sz w:val="20"/>
                <w:szCs w:val="20"/>
              </w:rPr>
            </w:pPr>
            <w:r>
              <w:rPr>
                <w:sz w:val="20"/>
                <w:szCs w:val="20"/>
              </w:rPr>
              <w:t>1</w:t>
            </w:r>
          </w:p>
        </w:tc>
        <w:tc>
          <w:tcPr>
            <w:tcW w:w="996" w:type="dxa"/>
          </w:tcPr>
          <w:p w14:paraId="0DBEE772" w14:textId="77777777" w:rsidR="00943E47" w:rsidRPr="001F7B1A" w:rsidRDefault="001A79CE" w:rsidP="00981706">
            <w:pPr>
              <w:jc w:val="center"/>
              <w:rPr>
                <w:sz w:val="20"/>
                <w:szCs w:val="20"/>
              </w:rPr>
            </w:pPr>
            <w:r>
              <w:rPr>
                <w:sz w:val="20"/>
                <w:szCs w:val="20"/>
              </w:rPr>
              <w:t>0</w:t>
            </w:r>
          </w:p>
        </w:tc>
        <w:tc>
          <w:tcPr>
            <w:tcW w:w="996" w:type="dxa"/>
          </w:tcPr>
          <w:p w14:paraId="6FC1A7D3" w14:textId="77777777" w:rsidR="00943E47" w:rsidRPr="001F7B1A" w:rsidRDefault="001A79CE" w:rsidP="00981706">
            <w:pPr>
              <w:jc w:val="center"/>
              <w:rPr>
                <w:sz w:val="20"/>
                <w:szCs w:val="20"/>
              </w:rPr>
            </w:pPr>
            <w:r>
              <w:rPr>
                <w:sz w:val="20"/>
                <w:szCs w:val="20"/>
              </w:rPr>
              <w:t>2</w:t>
            </w:r>
          </w:p>
        </w:tc>
        <w:tc>
          <w:tcPr>
            <w:tcW w:w="1013" w:type="dxa"/>
          </w:tcPr>
          <w:p w14:paraId="73503852" w14:textId="77777777" w:rsidR="00943E47" w:rsidRPr="001F7B1A" w:rsidRDefault="001A79CE" w:rsidP="00981706">
            <w:pPr>
              <w:jc w:val="center"/>
              <w:rPr>
                <w:sz w:val="20"/>
                <w:szCs w:val="20"/>
              </w:rPr>
            </w:pPr>
            <w:r>
              <w:rPr>
                <w:sz w:val="20"/>
                <w:szCs w:val="20"/>
              </w:rPr>
              <w:t>5</w:t>
            </w:r>
          </w:p>
        </w:tc>
        <w:tc>
          <w:tcPr>
            <w:tcW w:w="1205" w:type="dxa"/>
          </w:tcPr>
          <w:p w14:paraId="678D8691" w14:textId="77777777" w:rsidR="00943E47" w:rsidRPr="001F7B1A" w:rsidRDefault="004A0819" w:rsidP="00981706">
            <w:pPr>
              <w:jc w:val="center"/>
              <w:rPr>
                <w:sz w:val="20"/>
                <w:szCs w:val="20"/>
              </w:rPr>
            </w:pPr>
            <w:r>
              <w:rPr>
                <w:sz w:val="20"/>
                <w:szCs w:val="20"/>
              </w:rPr>
              <w:t>1,0</w:t>
            </w:r>
          </w:p>
        </w:tc>
      </w:tr>
      <w:tr w:rsidR="0084143E" w:rsidRPr="001F7B1A" w14:paraId="58E2CDF2" w14:textId="77777777" w:rsidTr="0091310E">
        <w:tc>
          <w:tcPr>
            <w:tcW w:w="1040" w:type="dxa"/>
          </w:tcPr>
          <w:p w14:paraId="5E7ABF31" w14:textId="77777777" w:rsidR="00943E47" w:rsidRPr="001F7B1A" w:rsidRDefault="001F7B1A" w:rsidP="004F264B">
            <w:pPr>
              <w:rPr>
                <w:sz w:val="20"/>
                <w:szCs w:val="20"/>
              </w:rPr>
            </w:pPr>
            <w:r w:rsidRPr="001F7B1A">
              <w:rPr>
                <w:sz w:val="20"/>
                <w:szCs w:val="20"/>
              </w:rPr>
              <w:t>4) 10%</w:t>
            </w:r>
          </w:p>
        </w:tc>
        <w:tc>
          <w:tcPr>
            <w:tcW w:w="1012" w:type="dxa"/>
          </w:tcPr>
          <w:p w14:paraId="2605953E" w14:textId="77777777" w:rsidR="00943E47" w:rsidRPr="001F7B1A" w:rsidRDefault="001A79CE" w:rsidP="004F264B">
            <w:pPr>
              <w:rPr>
                <w:sz w:val="20"/>
                <w:szCs w:val="20"/>
              </w:rPr>
            </w:pPr>
            <w:r>
              <w:rPr>
                <w:sz w:val="20"/>
                <w:szCs w:val="20"/>
              </w:rPr>
              <w:t>0-4</w:t>
            </w:r>
          </w:p>
        </w:tc>
        <w:tc>
          <w:tcPr>
            <w:tcW w:w="995" w:type="dxa"/>
          </w:tcPr>
          <w:p w14:paraId="3F3B2837" w14:textId="77777777" w:rsidR="00943E47" w:rsidRPr="001F7B1A" w:rsidRDefault="001A79CE" w:rsidP="00981706">
            <w:pPr>
              <w:jc w:val="center"/>
              <w:rPr>
                <w:sz w:val="20"/>
                <w:szCs w:val="20"/>
              </w:rPr>
            </w:pPr>
            <w:r>
              <w:rPr>
                <w:sz w:val="20"/>
                <w:szCs w:val="20"/>
              </w:rPr>
              <w:t>3</w:t>
            </w:r>
          </w:p>
        </w:tc>
        <w:tc>
          <w:tcPr>
            <w:tcW w:w="995" w:type="dxa"/>
          </w:tcPr>
          <w:p w14:paraId="5B82A4C3" w14:textId="77777777" w:rsidR="00943E47" w:rsidRPr="001F7B1A" w:rsidRDefault="001A79CE" w:rsidP="00981706">
            <w:pPr>
              <w:jc w:val="center"/>
              <w:rPr>
                <w:sz w:val="20"/>
                <w:szCs w:val="20"/>
              </w:rPr>
            </w:pPr>
            <w:r>
              <w:rPr>
                <w:sz w:val="20"/>
                <w:szCs w:val="20"/>
              </w:rPr>
              <w:t>1</w:t>
            </w:r>
          </w:p>
        </w:tc>
        <w:tc>
          <w:tcPr>
            <w:tcW w:w="995" w:type="dxa"/>
          </w:tcPr>
          <w:p w14:paraId="3DF7C46D" w14:textId="77777777" w:rsidR="00943E47" w:rsidRPr="001F7B1A" w:rsidRDefault="001A79CE" w:rsidP="00981706">
            <w:pPr>
              <w:jc w:val="center"/>
              <w:rPr>
                <w:sz w:val="20"/>
                <w:szCs w:val="20"/>
              </w:rPr>
            </w:pPr>
            <w:r>
              <w:rPr>
                <w:sz w:val="20"/>
                <w:szCs w:val="20"/>
              </w:rPr>
              <w:t>4</w:t>
            </w:r>
          </w:p>
        </w:tc>
        <w:tc>
          <w:tcPr>
            <w:tcW w:w="996" w:type="dxa"/>
          </w:tcPr>
          <w:p w14:paraId="65375F8A" w14:textId="77777777" w:rsidR="00943E47" w:rsidRPr="001F7B1A" w:rsidRDefault="001A79CE" w:rsidP="00981706">
            <w:pPr>
              <w:jc w:val="center"/>
              <w:rPr>
                <w:sz w:val="20"/>
                <w:szCs w:val="20"/>
              </w:rPr>
            </w:pPr>
            <w:r>
              <w:rPr>
                <w:sz w:val="20"/>
                <w:szCs w:val="20"/>
              </w:rPr>
              <w:t>2</w:t>
            </w:r>
          </w:p>
        </w:tc>
        <w:tc>
          <w:tcPr>
            <w:tcW w:w="996" w:type="dxa"/>
          </w:tcPr>
          <w:p w14:paraId="18591816" w14:textId="77777777" w:rsidR="00943E47" w:rsidRPr="001F7B1A" w:rsidRDefault="001A79CE" w:rsidP="00981706">
            <w:pPr>
              <w:jc w:val="center"/>
              <w:rPr>
                <w:sz w:val="20"/>
                <w:szCs w:val="20"/>
              </w:rPr>
            </w:pPr>
            <w:r>
              <w:rPr>
                <w:sz w:val="20"/>
                <w:szCs w:val="20"/>
              </w:rPr>
              <w:t>2</w:t>
            </w:r>
          </w:p>
        </w:tc>
        <w:tc>
          <w:tcPr>
            <w:tcW w:w="1013" w:type="dxa"/>
          </w:tcPr>
          <w:p w14:paraId="2CFDCD80" w14:textId="77777777" w:rsidR="00943E47" w:rsidRPr="001F7B1A" w:rsidRDefault="001A79CE" w:rsidP="00981706">
            <w:pPr>
              <w:jc w:val="center"/>
              <w:rPr>
                <w:sz w:val="20"/>
                <w:szCs w:val="20"/>
              </w:rPr>
            </w:pPr>
            <w:r>
              <w:rPr>
                <w:sz w:val="20"/>
                <w:szCs w:val="20"/>
              </w:rPr>
              <w:t>12</w:t>
            </w:r>
          </w:p>
        </w:tc>
        <w:tc>
          <w:tcPr>
            <w:tcW w:w="1205" w:type="dxa"/>
          </w:tcPr>
          <w:p w14:paraId="1FC1623F" w14:textId="77777777" w:rsidR="00943E47" w:rsidRPr="001F7B1A" w:rsidRDefault="004A0819" w:rsidP="00981706">
            <w:pPr>
              <w:jc w:val="center"/>
              <w:rPr>
                <w:sz w:val="20"/>
                <w:szCs w:val="20"/>
              </w:rPr>
            </w:pPr>
            <w:r>
              <w:rPr>
                <w:sz w:val="20"/>
                <w:szCs w:val="20"/>
              </w:rPr>
              <w:t>1,2</w:t>
            </w:r>
          </w:p>
        </w:tc>
      </w:tr>
      <w:tr w:rsidR="00A95BB7" w:rsidRPr="001F7B1A" w14:paraId="677A86AF" w14:textId="77777777" w:rsidTr="00B43590">
        <w:tc>
          <w:tcPr>
            <w:tcW w:w="1040" w:type="dxa"/>
            <w:shd w:val="clear" w:color="auto" w:fill="D9D9D9" w:themeFill="background1" w:themeFillShade="D9"/>
          </w:tcPr>
          <w:p w14:paraId="1003AC8F" w14:textId="77777777" w:rsidR="004535EC" w:rsidRPr="001F7B1A" w:rsidRDefault="004535EC" w:rsidP="004F264B">
            <w:pPr>
              <w:rPr>
                <w:sz w:val="20"/>
                <w:szCs w:val="20"/>
              </w:rPr>
            </w:pPr>
          </w:p>
        </w:tc>
        <w:tc>
          <w:tcPr>
            <w:tcW w:w="7002" w:type="dxa"/>
            <w:gridSpan w:val="7"/>
            <w:shd w:val="clear" w:color="auto" w:fill="D9D9D9" w:themeFill="background1" w:themeFillShade="D9"/>
          </w:tcPr>
          <w:p w14:paraId="11ED9325" w14:textId="0A47AFAB" w:rsidR="004535EC" w:rsidRPr="001F7B1A" w:rsidRDefault="0084143E" w:rsidP="004F264B">
            <w:pPr>
              <w:rPr>
                <w:sz w:val="20"/>
                <w:szCs w:val="20"/>
              </w:rPr>
            </w:pPr>
            <w:r>
              <w:rPr>
                <w:sz w:val="20"/>
                <w:szCs w:val="20"/>
              </w:rPr>
              <w:t>TEGEVUSKAVA</w:t>
            </w:r>
            <w:r w:rsidR="003E7B02">
              <w:rPr>
                <w:sz w:val="20"/>
                <w:szCs w:val="20"/>
              </w:rPr>
              <w:t xml:space="preserve"> </w:t>
            </w:r>
            <w:r w:rsidR="00A95BB7">
              <w:rPr>
                <w:sz w:val="20"/>
                <w:szCs w:val="20"/>
              </w:rPr>
              <w:t xml:space="preserve">KAALUTUD </w:t>
            </w:r>
            <w:r w:rsidR="003E7B02">
              <w:rPr>
                <w:sz w:val="20"/>
                <w:szCs w:val="20"/>
              </w:rPr>
              <w:t>HINDEPUNKTIDE SUMMA</w:t>
            </w:r>
          </w:p>
          <w:p w14:paraId="63D036D0" w14:textId="724C5531" w:rsidR="004535EC" w:rsidRPr="001F7B1A" w:rsidRDefault="004535EC" w:rsidP="004535EC">
            <w:pPr>
              <w:rPr>
                <w:sz w:val="20"/>
                <w:szCs w:val="20"/>
              </w:rPr>
            </w:pPr>
          </w:p>
        </w:tc>
        <w:tc>
          <w:tcPr>
            <w:tcW w:w="1205" w:type="dxa"/>
            <w:shd w:val="clear" w:color="auto" w:fill="D9D9D9" w:themeFill="background1" w:themeFillShade="D9"/>
          </w:tcPr>
          <w:p w14:paraId="45D3C006" w14:textId="77777777" w:rsidR="004535EC" w:rsidRPr="001F7B1A" w:rsidRDefault="004535EC" w:rsidP="00981706">
            <w:pPr>
              <w:jc w:val="center"/>
              <w:rPr>
                <w:sz w:val="20"/>
                <w:szCs w:val="20"/>
              </w:rPr>
            </w:pPr>
            <w:r>
              <w:rPr>
                <w:sz w:val="20"/>
                <w:szCs w:val="20"/>
              </w:rPr>
              <w:t>11,3</w:t>
            </w:r>
          </w:p>
        </w:tc>
      </w:tr>
      <w:tr w:rsidR="0084143E" w:rsidRPr="001F7B1A" w14:paraId="2DE3B5B2" w14:textId="77777777" w:rsidTr="0091310E">
        <w:tc>
          <w:tcPr>
            <w:tcW w:w="1040" w:type="dxa"/>
            <w:shd w:val="clear" w:color="auto" w:fill="D9D9D9" w:themeFill="background1" w:themeFillShade="D9"/>
          </w:tcPr>
          <w:p w14:paraId="628DE5FA" w14:textId="77777777" w:rsidR="009C06AB" w:rsidRPr="001F7B1A" w:rsidRDefault="009C06AB" w:rsidP="004F264B">
            <w:pPr>
              <w:rPr>
                <w:sz w:val="20"/>
                <w:szCs w:val="20"/>
              </w:rPr>
            </w:pPr>
          </w:p>
        </w:tc>
        <w:tc>
          <w:tcPr>
            <w:tcW w:w="7002" w:type="dxa"/>
            <w:gridSpan w:val="7"/>
            <w:shd w:val="clear" w:color="auto" w:fill="D9D9D9" w:themeFill="background1" w:themeFillShade="D9"/>
          </w:tcPr>
          <w:p w14:paraId="4922319C" w14:textId="71D7D7BB" w:rsidR="009C06AB" w:rsidRDefault="00403F49" w:rsidP="009C06AB">
            <w:pPr>
              <w:rPr>
                <w:sz w:val="20"/>
                <w:szCs w:val="20"/>
              </w:rPr>
            </w:pPr>
            <w:r>
              <w:rPr>
                <w:sz w:val="20"/>
                <w:szCs w:val="20"/>
              </w:rPr>
              <w:t xml:space="preserve">TEGEVUSKAVA HINDEPUNKTIDE </w:t>
            </w:r>
            <w:r w:rsidR="009C06AB">
              <w:rPr>
                <w:sz w:val="20"/>
                <w:szCs w:val="20"/>
              </w:rPr>
              <w:t>KAALUTUD KESKMINE (11,3/5)</w:t>
            </w:r>
          </w:p>
          <w:p w14:paraId="78BC9211" w14:textId="5A27EFAA" w:rsidR="004535EC" w:rsidRDefault="004535EC" w:rsidP="009C06AB">
            <w:pPr>
              <w:rPr>
                <w:sz w:val="20"/>
                <w:szCs w:val="20"/>
              </w:rPr>
            </w:pPr>
          </w:p>
        </w:tc>
        <w:tc>
          <w:tcPr>
            <w:tcW w:w="1205" w:type="dxa"/>
            <w:shd w:val="clear" w:color="auto" w:fill="D9D9D9" w:themeFill="background1" w:themeFillShade="D9"/>
          </w:tcPr>
          <w:p w14:paraId="753C85BE" w14:textId="77777777" w:rsidR="009C06AB" w:rsidRPr="009C06AB" w:rsidRDefault="009C06AB" w:rsidP="00981706">
            <w:pPr>
              <w:jc w:val="center"/>
              <w:rPr>
                <w:b/>
                <w:sz w:val="20"/>
                <w:szCs w:val="20"/>
              </w:rPr>
            </w:pPr>
            <w:r w:rsidRPr="009C06AB">
              <w:rPr>
                <w:b/>
                <w:sz w:val="20"/>
                <w:szCs w:val="20"/>
              </w:rPr>
              <w:t>2,26</w:t>
            </w:r>
          </w:p>
        </w:tc>
      </w:tr>
    </w:tbl>
    <w:p w14:paraId="13BE4841" w14:textId="77777777" w:rsidR="00943E47" w:rsidRPr="001F7B1A" w:rsidRDefault="00943E47" w:rsidP="004F264B"/>
    <w:p w14:paraId="05E6B03F" w14:textId="255F69E8" w:rsidR="00943E47" w:rsidRDefault="009C06AB" w:rsidP="00AB537E">
      <w:pPr>
        <w:jc w:val="both"/>
      </w:pPr>
      <w:r>
        <w:t>Lõikes 4 sätestatakse hindamiskriteeriumid ja nende osakaalud.</w:t>
      </w:r>
      <w:r w:rsidR="00AB537E">
        <w:t xml:space="preserve"> Esimese ja olulisima</w:t>
      </w:r>
      <w:r w:rsidR="00DF272C">
        <w:t xml:space="preserve"> </w:t>
      </w:r>
      <w:r w:rsidR="00AB537E">
        <w:t xml:space="preserve">hindamiskriteeriumi puhul </w:t>
      </w:r>
      <w:r w:rsidR="00DF272C">
        <w:t xml:space="preserve">osakaaluga </w:t>
      </w:r>
      <w:r w:rsidR="00AB537E">
        <w:t xml:space="preserve">40% </w:t>
      </w:r>
      <w:r w:rsidR="00DF272C">
        <w:t xml:space="preserve">koondhindest, </w:t>
      </w:r>
      <w:r w:rsidR="00AB537E">
        <w:t>h</w:t>
      </w:r>
      <w:r w:rsidR="00AB537E" w:rsidRPr="00AB537E">
        <w:t xml:space="preserve">innatakse, kas tegevuskava on terviklik, kas tegevuskavas kavandatud tegevuste vajalikkus on põhjendatud ning kas need tegevused </w:t>
      </w:r>
      <w:r w:rsidR="001D106D">
        <w:t>aitavad</w:t>
      </w:r>
      <w:r w:rsidR="00AB537E" w:rsidRPr="00AB537E">
        <w:t xml:space="preserve"> </w:t>
      </w:r>
      <w:r w:rsidR="001D106D">
        <w:t xml:space="preserve">kaasa </w:t>
      </w:r>
      <w:r w:rsidR="00AB537E" w:rsidRPr="00AB537E">
        <w:t>strateegiakavas sätestatud mesindussektori</w:t>
      </w:r>
      <w:r w:rsidR="00B24457">
        <w:t>sse</w:t>
      </w:r>
      <w:r w:rsidR="00AB537E" w:rsidRPr="00AB537E">
        <w:t xml:space="preserve"> sekkumise eesmär</w:t>
      </w:r>
      <w:r w:rsidR="001D106D">
        <w:t>g</w:t>
      </w:r>
      <w:r w:rsidR="00AB537E" w:rsidRPr="00AB537E">
        <w:t>i</w:t>
      </w:r>
      <w:r w:rsidR="001D106D">
        <w:t xml:space="preserve"> saavutamisele</w:t>
      </w:r>
      <w:r w:rsidR="00AB537E">
        <w:t xml:space="preserve">. Teise hindamiskriteeriumi puhul osakaaluga 30% koondhindest, hinnatakse, </w:t>
      </w:r>
      <w:r w:rsidR="00AB537E" w:rsidRPr="00AB537E">
        <w:t>kas tegevuste elluviimise kulud on realistlikud ja on arusaadav, milliste arvutuste ja hinnangute alusel on eelarve koostatud, ning kas eelarves sisalduvad kulud on tegevuste elluviimiseks vajalikud ja mõistlikud</w:t>
      </w:r>
      <w:r w:rsidR="00AB537E">
        <w:t>. Kolmanda hindamiskriteeriumi puhul osakaaluga 20% koondhindest, hinnatakse mesinduskogu</w:t>
      </w:r>
      <w:r w:rsidR="00AB537E" w:rsidRPr="00AB537E">
        <w:t xml:space="preserve"> ja partnerite pädevust ja võimekust tegevuste elluviimise korraldamiseks ning varasemaid kogemusi sarnaste tegevuste elluviimisel korraldamisel, samuti mesindussektori isikute ühenduste ja mesinike mesinduskoguga hõlmatuse taset</w:t>
      </w:r>
      <w:r w:rsidR="00AB537E">
        <w:t xml:space="preserve">. Neljanda hindamiskriteeriumi puhul osakaaluga 10% koondhindest, hinnatakse </w:t>
      </w:r>
      <w:r w:rsidR="00AB537E" w:rsidRPr="00AB537E">
        <w:t>tegevuskavas kavandatud tegevuste sidusust eelmistel EL eelarveperioodidel rakendatud mesindusprogrammide tegevustega ning tegevuste rakendamisel saadud tulemuste levitamise korraldust ja ulatust</w:t>
      </w:r>
      <w:r w:rsidR="00AB537E">
        <w:t>.</w:t>
      </w:r>
    </w:p>
    <w:p w14:paraId="7E041110" w14:textId="77777777" w:rsidR="001E6B1F" w:rsidRDefault="001E6B1F" w:rsidP="00AB537E">
      <w:pPr>
        <w:jc w:val="both"/>
      </w:pPr>
    </w:p>
    <w:p w14:paraId="7D0F8B25" w14:textId="77777777" w:rsidR="007D7149" w:rsidRDefault="009D7ED7" w:rsidP="00AB537E">
      <w:pPr>
        <w:jc w:val="both"/>
      </w:pPr>
      <w:r>
        <w:t>Lõikega</w:t>
      </w:r>
      <w:r w:rsidR="001E6B1F">
        <w:t xml:space="preserve"> 5 </w:t>
      </w:r>
      <w:r>
        <w:t>kinnitatakse</w:t>
      </w:r>
      <w:r w:rsidR="00934359">
        <w:t xml:space="preserve"> põhimõte</w:t>
      </w:r>
      <w:r>
        <w:t>t</w:t>
      </w:r>
      <w:r w:rsidR="007D7149">
        <w:t>, et tegevuskavade paremusjärjestuse koostamisel loetakse paremaks kõrgema hindepunktide kaalutud keskmise saanud tegevuskava.</w:t>
      </w:r>
    </w:p>
    <w:p w14:paraId="5859FFDA" w14:textId="77777777" w:rsidR="00A67B28" w:rsidRPr="007D7149" w:rsidRDefault="00A67B28" w:rsidP="00AB537E">
      <w:pPr>
        <w:jc w:val="both"/>
      </w:pPr>
    </w:p>
    <w:p w14:paraId="0FB94050" w14:textId="77777777" w:rsidR="007D7149" w:rsidRPr="007D7149" w:rsidRDefault="007D7149" w:rsidP="00AB537E">
      <w:pPr>
        <w:jc w:val="both"/>
      </w:pPr>
      <w:r w:rsidRPr="007D7149">
        <w:t>Lõike</w:t>
      </w:r>
      <w:r w:rsidR="007E0EA6">
        <w:t>ga</w:t>
      </w:r>
      <w:r w:rsidRPr="007D7149">
        <w:t xml:space="preserve"> 6 </w:t>
      </w:r>
      <w:r w:rsidR="007E0EA6">
        <w:t>reguleeritakse tegevuskavade paremusjärjestuse koostamist juhul, kui kaks tegevuskava saavad hindamiskomisjoni hindamise tulemusel täpselt samaväärse hindepunktide kaalutud keskmise. Sellisel küllaltki vä</w:t>
      </w:r>
      <w:r w:rsidR="00F85A52">
        <w:t>hetõenäoliselt ette tulla võiva</w:t>
      </w:r>
      <w:r w:rsidR="007E0EA6">
        <w:t xml:space="preserve"> </w:t>
      </w:r>
      <w:r w:rsidR="00F85A52">
        <w:t>juhtumi korral antakse</w:t>
      </w:r>
      <w:r w:rsidR="007E0EA6">
        <w:t xml:space="preserve"> pare</w:t>
      </w:r>
      <w:r w:rsidR="00F85A52">
        <w:t>musjärjestuses eelis</w:t>
      </w:r>
      <w:r w:rsidR="007E0EA6">
        <w:t xml:space="preserve"> tegevuskava</w:t>
      </w:r>
      <w:r w:rsidR="00F85A52">
        <w:t>le</w:t>
      </w:r>
      <w:r w:rsidR="007E0EA6">
        <w:t xml:space="preserve">, mille koostanud mesinduskogu liikmete arv on suurem. </w:t>
      </w:r>
    </w:p>
    <w:p w14:paraId="50E5090A" w14:textId="77777777" w:rsidR="00A67B28" w:rsidRPr="007D7149" w:rsidRDefault="00A67B28" w:rsidP="00AB537E">
      <w:pPr>
        <w:jc w:val="both"/>
      </w:pPr>
    </w:p>
    <w:p w14:paraId="7D98A583" w14:textId="39C9CD73" w:rsidR="00DF272C" w:rsidRPr="007D7149" w:rsidRDefault="00F85A52" w:rsidP="004F264B">
      <w:r w:rsidRPr="00331291">
        <w:rPr>
          <w:b/>
        </w:rPr>
        <w:t>Eelnõu §-ga 1</w:t>
      </w:r>
      <w:r w:rsidR="00624287">
        <w:rPr>
          <w:b/>
        </w:rPr>
        <w:t>1</w:t>
      </w:r>
      <w:r>
        <w:t xml:space="preserve"> sätestatakse tegevuskava heakskiitmine ja heaks kiitmata jätmine.</w:t>
      </w:r>
    </w:p>
    <w:p w14:paraId="64128D78" w14:textId="77777777" w:rsidR="004F264B" w:rsidRDefault="004F264B" w:rsidP="00203811">
      <w:pPr>
        <w:jc w:val="both"/>
      </w:pPr>
    </w:p>
    <w:p w14:paraId="36CA309A" w14:textId="41F05412" w:rsidR="00F85A52" w:rsidRDefault="00476184" w:rsidP="00203811">
      <w:pPr>
        <w:jc w:val="both"/>
      </w:pPr>
      <w:r>
        <w:t xml:space="preserve">Lõikes 1 sätestatakse, et heaks kiidetakse nõuetele vastav ja </w:t>
      </w:r>
      <w:r w:rsidR="00A467BE">
        <w:t xml:space="preserve">tegevuskavade paremusjärjestuses esimesele kohale tulnud tegevuskava, mis sai hindamisel eraldi kõikide hindamiskriteeriumite arvestuses hindamiskomisjonide liikmetelt </w:t>
      </w:r>
      <w:r w:rsidR="00C8654F">
        <w:t xml:space="preserve">aritmeetilise </w:t>
      </w:r>
      <w:r w:rsidR="00A467BE">
        <w:t>keskmise</w:t>
      </w:r>
      <w:r w:rsidR="00C8654F">
        <w:t>na</w:t>
      </w:r>
      <w:r w:rsidR="00A467BE">
        <w:t xml:space="preserve"> vähemalt 2 hindepunkti. Eel</w:t>
      </w:r>
      <w:r w:rsidR="00C8654F">
        <w:t xml:space="preserve">mises §-s </w:t>
      </w:r>
      <w:r w:rsidR="00A467BE">
        <w:t xml:space="preserve">toodud </w:t>
      </w:r>
      <w:r w:rsidR="001D6070">
        <w:t xml:space="preserve">tegevuskava </w:t>
      </w:r>
      <w:r w:rsidR="00A467BE">
        <w:t xml:space="preserve">hindepunktide kaalutud keskmise arvutamise näite puhul jääks tegevuskava heaks kiitmata, sest </w:t>
      </w:r>
      <w:r w:rsidR="003C2F85">
        <w:t xml:space="preserve">kolmanda hindamiskriteeriumi </w:t>
      </w:r>
      <w:r w:rsidR="00834AF7">
        <w:t xml:space="preserve">aritmeetiliseks </w:t>
      </w:r>
      <w:r w:rsidR="003C2F85">
        <w:t xml:space="preserve">keskmiseks </w:t>
      </w:r>
      <w:r w:rsidR="0024460A">
        <w:t>tuli vaid 1,0 punkti.</w:t>
      </w:r>
    </w:p>
    <w:p w14:paraId="05B74F07" w14:textId="77777777" w:rsidR="00F85A52" w:rsidRDefault="00F85A52" w:rsidP="00203811">
      <w:pPr>
        <w:jc w:val="both"/>
      </w:pPr>
    </w:p>
    <w:tbl>
      <w:tblPr>
        <w:tblStyle w:val="TableGrid"/>
        <w:tblW w:w="0" w:type="auto"/>
        <w:tblLook w:val="04A0" w:firstRow="1" w:lastRow="0" w:firstColumn="1" w:lastColumn="0" w:noHBand="0" w:noVBand="1"/>
      </w:tblPr>
      <w:tblGrid>
        <w:gridCol w:w="1040"/>
        <w:gridCol w:w="840"/>
        <w:gridCol w:w="1044"/>
        <w:gridCol w:w="1044"/>
        <w:gridCol w:w="1044"/>
        <w:gridCol w:w="1044"/>
        <w:gridCol w:w="1044"/>
        <w:gridCol w:w="1077"/>
        <w:gridCol w:w="1070"/>
      </w:tblGrid>
      <w:tr w:rsidR="00D32C1B" w14:paraId="7D53E66F" w14:textId="77777777" w:rsidTr="003C2F85">
        <w:tc>
          <w:tcPr>
            <w:tcW w:w="1035" w:type="dxa"/>
          </w:tcPr>
          <w:p w14:paraId="645F732B" w14:textId="77777777" w:rsidR="00D32C1B" w:rsidRPr="00D32C1B" w:rsidRDefault="00D32C1B" w:rsidP="00D32C1B">
            <w:pPr>
              <w:jc w:val="both"/>
              <w:rPr>
                <w:sz w:val="20"/>
                <w:szCs w:val="20"/>
              </w:rPr>
            </w:pPr>
          </w:p>
        </w:tc>
        <w:tc>
          <w:tcPr>
            <w:tcW w:w="840" w:type="dxa"/>
          </w:tcPr>
          <w:p w14:paraId="3CD2183B" w14:textId="77777777" w:rsidR="00D32C1B" w:rsidRPr="00D32C1B" w:rsidRDefault="00D32C1B" w:rsidP="00D32C1B">
            <w:pPr>
              <w:jc w:val="both"/>
              <w:rPr>
                <w:sz w:val="20"/>
                <w:szCs w:val="20"/>
              </w:rPr>
            </w:pPr>
          </w:p>
        </w:tc>
        <w:tc>
          <w:tcPr>
            <w:tcW w:w="1045" w:type="dxa"/>
          </w:tcPr>
          <w:p w14:paraId="62F86094" w14:textId="77777777" w:rsidR="00D32C1B" w:rsidRPr="00D32C1B" w:rsidRDefault="00D32C1B" w:rsidP="00D32C1B">
            <w:pPr>
              <w:jc w:val="both"/>
              <w:rPr>
                <w:sz w:val="20"/>
                <w:szCs w:val="20"/>
              </w:rPr>
            </w:pPr>
            <w:r w:rsidRPr="00D32C1B">
              <w:rPr>
                <w:sz w:val="20"/>
                <w:szCs w:val="20"/>
              </w:rPr>
              <w:t>Hindaja 1</w:t>
            </w:r>
          </w:p>
        </w:tc>
        <w:tc>
          <w:tcPr>
            <w:tcW w:w="1045" w:type="dxa"/>
          </w:tcPr>
          <w:p w14:paraId="6D9E031A" w14:textId="77777777" w:rsidR="00D32C1B" w:rsidRPr="00D32C1B" w:rsidRDefault="00D32C1B" w:rsidP="00D32C1B">
            <w:pPr>
              <w:jc w:val="both"/>
              <w:rPr>
                <w:sz w:val="20"/>
                <w:szCs w:val="20"/>
              </w:rPr>
            </w:pPr>
            <w:r w:rsidRPr="00D32C1B">
              <w:rPr>
                <w:sz w:val="20"/>
                <w:szCs w:val="20"/>
              </w:rPr>
              <w:t>Hindaja 2</w:t>
            </w:r>
          </w:p>
        </w:tc>
        <w:tc>
          <w:tcPr>
            <w:tcW w:w="1045" w:type="dxa"/>
          </w:tcPr>
          <w:p w14:paraId="61E9E784" w14:textId="77777777" w:rsidR="00D32C1B" w:rsidRPr="00D32C1B" w:rsidRDefault="00D32C1B" w:rsidP="00D32C1B">
            <w:pPr>
              <w:jc w:val="both"/>
              <w:rPr>
                <w:sz w:val="20"/>
                <w:szCs w:val="20"/>
              </w:rPr>
            </w:pPr>
            <w:r w:rsidRPr="00D32C1B">
              <w:rPr>
                <w:sz w:val="20"/>
                <w:szCs w:val="20"/>
              </w:rPr>
              <w:t>Hindaja 3</w:t>
            </w:r>
          </w:p>
        </w:tc>
        <w:tc>
          <w:tcPr>
            <w:tcW w:w="1045" w:type="dxa"/>
          </w:tcPr>
          <w:p w14:paraId="6563A285" w14:textId="77777777" w:rsidR="00D32C1B" w:rsidRPr="00D32C1B" w:rsidRDefault="00D32C1B" w:rsidP="00D32C1B">
            <w:pPr>
              <w:jc w:val="both"/>
              <w:rPr>
                <w:sz w:val="20"/>
                <w:szCs w:val="20"/>
              </w:rPr>
            </w:pPr>
            <w:r w:rsidRPr="00D32C1B">
              <w:rPr>
                <w:sz w:val="20"/>
                <w:szCs w:val="20"/>
              </w:rPr>
              <w:t>Hindaja 4</w:t>
            </w:r>
          </w:p>
        </w:tc>
        <w:tc>
          <w:tcPr>
            <w:tcW w:w="1045" w:type="dxa"/>
          </w:tcPr>
          <w:p w14:paraId="3A5EB3EA" w14:textId="77777777" w:rsidR="00D32C1B" w:rsidRPr="00D32C1B" w:rsidRDefault="00D32C1B" w:rsidP="00D32C1B">
            <w:pPr>
              <w:jc w:val="both"/>
              <w:rPr>
                <w:sz w:val="20"/>
                <w:szCs w:val="20"/>
              </w:rPr>
            </w:pPr>
            <w:r w:rsidRPr="00D32C1B">
              <w:rPr>
                <w:sz w:val="20"/>
                <w:szCs w:val="20"/>
              </w:rPr>
              <w:t>Hindaja 5</w:t>
            </w:r>
          </w:p>
        </w:tc>
        <w:tc>
          <w:tcPr>
            <w:tcW w:w="1077" w:type="dxa"/>
          </w:tcPr>
          <w:p w14:paraId="5E28EB8D" w14:textId="77777777" w:rsidR="00D32C1B" w:rsidRPr="00D32C1B" w:rsidRDefault="00D32C1B" w:rsidP="00D32C1B">
            <w:pPr>
              <w:rPr>
                <w:sz w:val="20"/>
                <w:szCs w:val="20"/>
              </w:rPr>
            </w:pPr>
            <w:r w:rsidRPr="00D32C1B">
              <w:rPr>
                <w:sz w:val="20"/>
                <w:szCs w:val="20"/>
              </w:rPr>
              <w:t>KOKKU</w:t>
            </w:r>
          </w:p>
        </w:tc>
        <w:tc>
          <w:tcPr>
            <w:tcW w:w="1070" w:type="dxa"/>
          </w:tcPr>
          <w:p w14:paraId="62E16E5E" w14:textId="77777777" w:rsidR="00D32C1B" w:rsidRPr="00D32C1B" w:rsidRDefault="00D32C1B" w:rsidP="00D32C1B">
            <w:pPr>
              <w:jc w:val="both"/>
              <w:rPr>
                <w:sz w:val="20"/>
                <w:szCs w:val="20"/>
              </w:rPr>
            </w:pPr>
            <w:r w:rsidRPr="00D32C1B">
              <w:rPr>
                <w:sz w:val="20"/>
                <w:szCs w:val="20"/>
              </w:rPr>
              <w:t>KESKM HINNE</w:t>
            </w:r>
          </w:p>
        </w:tc>
      </w:tr>
      <w:tr w:rsidR="003C2F85" w14:paraId="7D686FD1" w14:textId="77777777" w:rsidTr="003C2F85">
        <w:tc>
          <w:tcPr>
            <w:tcW w:w="1035" w:type="dxa"/>
            <w:shd w:val="clear" w:color="auto" w:fill="D9D9D9" w:themeFill="background1" w:themeFillShade="D9"/>
          </w:tcPr>
          <w:p w14:paraId="16BC2BCF" w14:textId="77777777" w:rsidR="003C2F85" w:rsidRDefault="003C2F85" w:rsidP="003C2F85">
            <w:pPr>
              <w:rPr>
                <w:sz w:val="20"/>
                <w:szCs w:val="20"/>
              </w:rPr>
            </w:pPr>
            <w:r>
              <w:rPr>
                <w:sz w:val="20"/>
                <w:szCs w:val="20"/>
              </w:rPr>
              <w:t>HK</w:t>
            </w:r>
          </w:p>
          <w:p w14:paraId="4BE964DD" w14:textId="77777777" w:rsidR="003C2F85" w:rsidRPr="001F7B1A" w:rsidRDefault="003C2F85" w:rsidP="003C2F85">
            <w:pPr>
              <w:rPr>
                <w:sz w:val="20"/>
                <w:szCs w:val="20"/>
              </w:rPr>
            </w:pPr>
            <w:r>
              <w:rPr>
                <w:sz w:val="20"/>
                <w:szCs w:val="20"/>
              </w:rPr>
              <w:t>osatähtsus</w:t>
            </w:r>
          </w:p>
        </w:tc>
        <w:tc>
          <w:tcPr>
            <w:tcW w:w="840" w:type="dxa"/>
            <w:shd w:val="clear" w:color="auto" w:fill="D9D9D9" w:themeFill="background1" w:themeFillShade="D9"/>
          </w:tcPr>
          <w:p w14:paraId="53CF42C2" w14:textId="77777777" w:rsidR="003C2F85" w:rsidRPr="00D32C1B" w:rsidRDefault="003C2F85" w:rsidP="003C2F85">
            <w:pPr>
              <w:jc w:val="both"/>
              <w:rPr>
                <w:sz w:val="20"/>
                <w:szCs w:val="20"/>
              </w:rPr>
            </w:pPr>
            <w:r w:rsidRPr="00D32C1B">
              <w:rPr>
                <w:sz w:val="20"/>
                <w:szCs w:val="20"/>
              </w:rPr>
              <w:t>Punktid</w:t>
            </w:r>
          </w:p>
        </w:tc>
        <w:tc>
          <w:tcPr>
            <w:tcW w:w="1045" w:type="dxa"/>
            <w:shd w:val="clear" w:color="auto" w:fill="D9D9D9" w:themeFill="background1" w:themeFillShade="D9"/>
          </w:tcPr>
          <w:p w14:paraId="5140E976" w14:textId="77777777" w:rsidR="003C2F85" w:rsidRPr="00D32C1B" w:rsidRDefault="003C2F85" w:rsidP="003C2F85">
            <w:pPr>
              <w:rPr>
                <w:sz w:val="20"/>
                <w:szCs w:val="20"/>
              </w:rPr>
            </w:pPr>
          </w:p>
        </w:tc>
        <w:tc>
          <w:tcPr>
            <w:tcW w:w="1045" w:type="dxa"/>
            <w:shd w:val="clear" w:color="auto" w:fill="D9D9D9" w:themeFill="background1" w:themeFillShade="D9"/>
          </w:tcPr>
          <w:p w14:paraId="42493DAB" w14:textId="77777777" w:rsidR="003C2F85" w:rsidRPr="00D32C1B" w:rsidRDefault="003C2F85" w:rsidP="003C2F85">
            <w:pPr>
              <w:jc w:val="both"/>
              <w:rPr>
                <w:sz w:val="20"/>
                <w:szCs w:val="20"/>
              </w:rPr>
            </w:pPr>
          </w:p>
        </w:tc>
        <w:tc>
          <w:tcPr>
            <w:tcW w:w="1045" w:type="dxa"/>
            <w:shd w:val="clear" w:color="auto" w:fill="D9D9D9" w:themeFill="background1" w:themeFillShade="D9"/>
          </w:tcPr>
          <w:p w14:paraId="0ECF8EE2" w14:textId="77777777" w:rsidR="003C2F85" w:rsidRPr="00D32C1B" w:rsidRDefault="003C2F85" w:rsidP="003C2F85">
            <w:pPr>
              <w:jc w:val="both"/>
              <w:rPr>
                <w:sz w:val="20"/>
                <w:szCs w:val="20"/>
              </w:rPr>
            </w:pPr>
          </w:p>
        </w:tc>
        <w:tc>
          <w:tcPr>
            <w:tcW w:w="1045" w:type="dxa"/>
            <w:shd w:val="clear" w:color="auto" w:fill="D9D9D9" w:themeFill="background1" w:themeFillShade="D9"/>
          </w:tcPr>
          <w:p w14:paraId="4BA92BB3" w14:textId="77777777" w:rsidR="003C2F85" w:rsidRPr="00D32C1B" w:rsidRDefault="003C2F85" w:rsidP="003C2F85">
            <w:pPr>
              <w:jc w:val="both"/>
              <w:rPr>
                <w:sz w:val="20"/>
                <w:szCs w:val="20"/>
              </w:rPr>
            </w:pPr>
          </w:p>
        </w:tc>
        <w:tc>
          <w:tcPr>
            <w:tcW w:w="1045" w:type="dxa"/>
            <w:shd w:val="clear" w:color="auto" w:fill="D9D9D9" w:themeFill="background1" w:themeFillShade="D9"/>
          </w:tcPr>
          <w:p w14:paraId="33FE4353" w14:textId="77777777" w:rsidR="003C2F85" w:rsidRPr="00D32C1B" w:rsidRDefault="003C2F85" w:rsidP="003C2F85">
            <w:pPr>
              <w:jc w:val="both"/>
              <w:rPr>
                <w:sz w:val="20"/>
                <w:szCs w:val="20"/>
              </w:rPr>
            </w:pPr>
          </w:p>
        </w:tc>
        <w:tc>
          <w:tcPr>
            <w:tcW w:w="1077" w:type="dxa"/>
            <w:shd w:val="clear" w:color="auto" w:fill="D9D9D9" w:themeFill="background1" w:themeFillShade="D9"/>
          </w:tcPr>
          <w:p w14:paraId="3C69A410" w14:textId="77777777" w:rsidR="003C2F85" w:rsidRPr="00D32C1B" w:rsidRDefault="003C2F85" w:rsidP="003C2F85">
            <w:pPr>
              <w:jc w:val="both"/>
              <w:rPr>
                <w:sz w:val="20"/>
                <w:szCs w:val="20"/>
              </w:rPr>
            </w:pPr>
          </w:p>
        </w:tc>
        <w:tc>
          <w:tcPr>
            <w:tcW w:w="1070" w:type="dxa"/>
            <w:shd w:val="clear" w:color="auto" w:fill="D9D9D9" w:themeFill="background1" w:themeFillShade="D9"/>
          </w:tcPr>
          <w:p w14:paraId="3BC7DCA5" w14:textId="77777777" w:rsidR="003C2F85" w:rsidRPr="00D32C1B" w:rsidRDefault="003C2F85" w:rsidP="003C2F85">
            <w:pPr>
              <w:jc w:val="both"/>
              <w:rPr>
                <w:sz w:val="20"/>
                <w:szCs w:val="20"/>
              </w:rPr>
            </w:pPr>
          </w:p>
        </w:tc>
      </w:tr>
      <w:tr w:rsidR="003C2F85" w14:paraId="4F2E635B" w14:textId="77777777" w:rsidTr="003C2F85">
        <w:tc>
          <w:tcPr>
            <w:tcW w:w="1035" w:type="dxa"/>
          </w:tcPr>
          <w:p w14:paraId="2A96A8E0" w14:textId="77777777" w:rsidR="003C2F85" w:rsidRPr="001F7B1A" w:rsidRDefault="003C2F85" w:rsidP="003C2F85">
            <w:pPr>
              <w:rPr>
                <w:sz w:val="20"/>
                <w:szCs w:val="20"/>
              </w:rPr>
            </w:pPr>
            <w:r w:rsidRPr="001F7B1A">
              <w:rPr>
                <w:sz w:val="20"/>
                <w:szCs w:val="20"/>
              </w:rPr>
              <w:t>1) 40%</w:t>
            </w:r>
          </w:p>
        </w:tc>
        <w:tc>
          <w:tcPr>
            <w:tcW w:w="840" w:type="dxa"/>
          </w:tcPr>
          <w:p w14:paraId="70D96E44" w14:textId="77777777" w:rsidR="003C2F85" w:rsidRPr="00D32C1B" w:rsidRDefault="003C2F85" w:rsidP="003C2F85">
            <w:pPr>
              <w:rPr>
                <w:sz w:val="20"/>
                <w:szCs w:val="20"/>
              </w:rPr>
            </w:pPr>
            <w:r w:rsidRPr="00D32C1B">
              <w:rPr>
                <w:sz w:val="20"/>
                <w:szCs w:val="20"/>
              </w:rPr>
              <w:t>0-4</w:t>
            </w:r>
          </w:p>
        </w:tc>
        <w:tc>
          <w:tcPr>
            <w:tcW w:w="1045" w:type="dxa"/>
          </w:tcPr>
          <w:p w14:paraId="60681F30" w14:textId="77777777" w:rsidR="003C2F85" w:rsidRPr="00D32C1B" w:rsidRDefault="003C2F85" w:rsidP="003C2F85">
            <w:pPr>
              <w:jc w:val="center"/>
              <w:rPr>
                <w:sz w:val="20"/>
                <w:szCs w:val="20"/>
              </w:rPr>
            </w:pPr>
            <w:r w:rsidRPr="00D32C1B">
              <w:rPr>
                <w:sz w:val="20"/>
                <w:szCs w:val="20"/>
              </w:rPr>
              <w:t>4</w:t>
            </w:r>
          </w:p>
        </w:tc>
        <w:tc>
          <w:tcPr>
            <w:tcW w:w="1045" w:type="dxa"/>
          </w:tcPr>
          <w:p w14:paraId="15815147" w14:textId="77777777" w:rsidR="003C2F85" w:rsidRPr="00D32C1B" w:rsidRDefault="003C2F85" w:rsidP="003C2F85">
            <w:pPr>
              <w:jc w:val="center"/>
              <w:rPr>
                <w:sz w:val="20"/>
                <w:szCs w:val="20"/>
              </w:rPr>
            </w:pPr>
            <w:r w:rsidRPr="00D32C1B">
              <w:rPr>
                <w:sz w:val="20"/>
                <w:szCs w:val="20"/>
              </w:rPr>
              <w:t>2</w:t>
            </w:r>
          </w:p>
        </w:tc>
        <w:tc>
          <w:tcPr>
            <w:tcW w:w="1045" w:type="dxa"/>
          </w:tcPr>
          <w:p w14:paraId="1D17C64B" w14:textId="77777777" w:rsidR="003C2F85" w:rsidRPr="00D32C1B" w:rsidRDefault="003C2F85" w:rsidP="003C2F85">
            <w:pPr>
              <w:jc w:val="center"/>
              <w:rPr>
                <w:sz w:val="20"/>
                <w:szCs w:val="20"/>
              </w:rPr>
            </w:pPr>
            <w:r w:rsidRPr="00D32C1B">
              <w:rPr>
                <w:sz w:val="20"/>
                <w:szCs w:val="20"/>
              </w:rPr>
              <w:t>3</w:t>
            </w:r>
          </w:p>
        </w:tc>
        <w:tc>
          <w:tcPr>
            <w:tcW w:w="1045" w:type="dxa"/>
          </w:tcPr>
          <w:p w14:paraId="341EF93F" w14:textId="77777777" w:rsidR="003C2F85" w:rsidRPr="00D32C1B" w:rsidRDefault="003C2F85" w:rsidP="003C2F85">
            <w:pPr>
              <w:jc w:val="center"/>
              <w:rPr>
                <w:sz w:val="20"/>
                <w:szCs w:val="20"/>
              </w:rPr>
            </w:pPr>
            <w:r w:rsidRPr="00D32C1B">
              <w:rPr>
                <w:sz w:val="20"/>
                <w:szCs w:val="20"/>
              </w:rPr>
              <w:t>2</w:t>
            </w:r>
          </w:p>
        </w:tc>
        <w:tc>
          <w:tcPr>
            <w:tcW w:w="1045" w:type="dxa"/>
          </w:tcPr>
          <w:p w14:paraId="234CC319" w14:textId="77777777" w:rsidR="003C2F85" w:rsidRPr="00D32C1B" w:rsidRDefault="003C2F85" w:rsidP="003C2F85">
            <w:pPr>
              <w:jc w:val="center"/>
              <w:rPr>
                <w:sz w:val="20"/>
                <w:szCs w:val="20"/>
              </w:rPr>
            </w:pPr>
            <w:r w:rsidRPr="00D32C1B">
              <w:rPr>
                <w:sz w:val="20"/>
                <w:szCs w:val="20"/>
              </w:rPr>
              <w:t>2</w:t>
            </w:r>
          </w:p>
        </w:tc>
        <w:tc>
          <w:tcPr>
            <w:tcW w:w="1077" w:type="dxa"/>
          </w:tcPr>
          <w:p w14:paraId="52E56E6C" w14:textId="77777777" w:rsidR="003C2F85" w:rsidRPr="00D32C1B" w:rsidRDefault="003C2F85" w:rsidP="003C2F85">
            <w:pPr>
              <w:jc w:val="center"/>
              <w:rPr>
                <w:sz w:val="20"/>
                <w:szCs w:val="20"/>
              </w:rPr>
            </w:pPr>
            <w:r w:rsidRPr="00D32C1B">
              <w:rPr>
                <w:sz w:val="20"/>
                <w:szCs w:val="20"/>
              </w:rPr>
              <w:t>13</w:t>
            </w:r>
          </w:p>
        </w:tc>
        <w:tc>
          <w:tcPr>
            <w:tcW w:w="1070" w:type="dxa"/>
          </w:tcPr>
          <w:p w14:paraId="46CA04FE" w14:textId="77777777" w:rsidR="003C2F85" w:rsidRPr="00D32C1B" w:rsidRDefault="003C2F85" w:rsidP="003C2F85">
            <w:pPr>
              <w:jc w:val="center"/>
              <w:rPr>
                <w:sz w:val="20"/>
                <w:szCs w:val="20"/>
              </w:rPr>
            </w:pPr>
            <w:r>
              <w:rPr>
                <w:sz w:val="20"/>
                <w:szCs w:val="20"/>
              </w:rPr>
              <w:t>2,6</w:t>
            </w:r>
          </w:p>
        </w:tc>
      </w:tr>
      <w:tr w:rsidR="003C2F85" w14:paraId="76A60510" w14:textId="77777777" w:rsidTr="003C2F85">
        <w:tc>
          <w:tcPr>
            <w:tcW w:w="1035" w:type="dxa"/>
          </w:tcPr>
          <w:p w14:paraId="41A68728" w14:textId="77777777" w:rsidR="003C2F85" w:rsidRPr="001F7B1A" w:rsidRDefault="003C2F85" w:rsidP="003C2F85">
            <w:pPr>
              <w:rPr>
                <w:sz w:val="20"/>
                <w:szCs w:val="20"/>
              </w:rPr>
            </w:pPr>
            <w:r w:rsidRPr="001F7B1A">
              <w:rPr>
                <w:sz w:val="20"/>
                <w:szCs w:val="20"/>
              </w:rPr>
              <w:t>2) 30%</w:t>
            </w:r>
          </w:p>
        </w:tc>
        <w:tc>
          <w:tcPr>
            <w:tcW w:w="840" w:type="dxa"/>
          </w:tcPr>
          <w:p w14:paraId="2C9BCEFE" w14:textId="77777777" w:rsidR="003C2F85" w:rsidRPr="00D32C1B" w:rsidRDefault="003C2F85" w:rsidP="003C2F85">
            <w:pPr>
              <w:rPr>
                <w:sz w:val="20"/>
                <w:szCs w:val="20"/>
              </w:rPr>
            </w:pPr>
            <w:r w:rsidRPr="00D32C1B">
              <w:rPr>
                <w:sz w:val="20"/>
                <w:szCs w:val="20"/>
              </w:rPr>
              <w:t>0-4</w:t>
            </w:r>
          </w:p>
        </w:tc>
        <w:tc>
          <w:tcPr>
            <w:tcW w:w="1045" w:type="dxa"/>
          </w:tcPr>
          <w:p w14:paraId="7060A85C" w14:textId="77777777" w:rsidR="003C2F85" w:rsidRPr="00D32C1B" w:rsidRDefault="003C2F85" w:rsidP="003C2F85">
            <w:pPr>
              <w:jc w:val="center"/>
              <w:rPr>
                <w:sz w:val="20"/>
                <w:szCs w:val="20"/>
              </w:rPr>
            </w:pPr>
            <w:r w:rsidRPr="00D32C1B">
              <w:rPr>
                <w:sz w:val="20"/>
                <w:szCs w:val="20"/>
              </w:rPr>
              <w:t>3</w:t>
            </w:r>
          </w:p>
        </w:tc>
        <w:tc>
          <w:tcPr>
            <w:tcW w:w="1045" w:type="dxa"/>
          </w:tcPr>
          <w:p w14:paraId="4727B334" w14:textId="77777777" w:rsidR="003C2F85" w:rsidRPr="00D32C1B" w:rsidRDefault="003C2F85" w:rsidP="003C2F85">
            <w:pPr>
              <w:jc w:val="center"/>
              <w:rPr>
                <w:sz w:val="20"/>
                <w:szCs w:val="20"/>
              </w:rPr>
            </w:pPr>
            <w:r w:rsidRPr="00D32C1B">
              <w:rPr>
                <w:sz w:val="20"/>
                <w:szCs w:val="20"/>
              </w:rPr>
              <w:t>4</w:t>
            </w:r>
          </w:p>
        </w:tc>
        <w:tc>
          <w:tcPr>
            <w:tcW w:w="1045" w:type="dxa"/>
          </w:tcPr>
          <w:p w14:paraId="5912AD60" w14:textId="77777777" w:rsidR="003C2F85" w:rsidRPr="00D32C1B" w:rsidRDefault="003C2F85" w:rsidP="003C2F85">
            <w:pPr>
              <w:jc w:val="center"/>
              <w:rPr>
                <w:sz w:val="20"/>
                <w:szCs w:val="20"/>
              </w:rPr>
            </w:pPr>
            <w:r w:rsidRPr="00D32C1B">
              <w:rPr>
                <w:sz w:val="20"/>
                <w:szCs w:val="20"/>
              </w:rPr>
              <w:t>1</w:t>
            </w:r>
          </w:p>
        </w:tc>
        <w:tc>
          <w:tcPr>
            <w:tcW w:w="1045" w:type="dxa"/>
          </w:tcPr>
          <w:p w14:paraId="3C9233C3" w14:textId="77777777" w:rsidR="003C2F85" w:rsidRPr="00D32C1B" w:rsidRDefault="003C2F85" w:rsidP="003C2F85">
            <w:pPr>
              <w:jc w:val="center"/>
              <w:rPr>
                <w:sz w:val="20"/>
                <w:szCs w:val="20"/>
              </w:rPr>
            </w:pPr>
            <w:r w:rsidRPr="00D32C1B">
              <w:rPr>
                <w:sz w:val="20"/>
                <w:szCs w:val="20"/>
              </w:rPr>
              <w:t>3</w:t>
            </w:r>
          </w:p>
        </w:tc>
        <w:tc>
          <w:tcPr>
            <w:tcW w:w="1045" w:type="dxa"/>
          </w:tcPr>
          <w:p w14:paraId="4FD88B4B" w14:textId="77777777" w:rsidR="003C2F85" w:rsidRPr="00D32C1B" w:rsidRDefault="003C2F85" w:rsidP="003C2F85">
            <w:pPr>
              <w:jc w:val="center"/>
              <w:rPr>
                <w:sz w:val="20"/>
                <w:szCs w:val="20"/>
              </w:rPr>
            </w:pPr>
            <w:r w:rsidRPr="00D32C1B">
              <w:rPr>
                <w:sz w:val="20"/>
                <w:szCs w:val="20"/>
              </w:rPr>
              <w:t>2</w:t>
            </w:r>
          </w:p>
        </w:tc>
        <w:tc>
          <w:tcPr>
            <w:tcW w:w="1077" w:type="dxa"/>
          </w:tcPr>
          <w:p w14:paraId="416492B7" w14:textId="77777777" w:rsidR="003C2F85" w:rsidRPr="00D32C1B" w:rsidRDefault="003C2F85" w:rsidP="003C2F85">
            <w:pPr>
              <w:jc w:val="center"/>
              <w:rPr>
                <w:sz w:val="20"/>
                <w:szCs w:val="20"/>
              </w:rPr>
            </w:pPr>
            <w:r w:rsidRPr="00D32C1B">
              <w:rPr>
                <w:sz w:val="20"/>
                <w:szCs w:val="20"/>
              </w:rPr>
              <w:t>13</w:t>
            </w:r>
          </w:p>
        </w:tc>
        <w:tc>
          <w:tcPr>
            <w:tcW w:w="1070" w:type="dxa"/>
          </w:tcPr>
          <w:p w14:paraId="4A5D417C" w14:textId="77777777" w:rsidR="003C2F85" w:rsidRPr="00D32C1B" w:rsidRDefault="003C2F85" w:rsidP="003C2F85">
            <w:pPr>
              <w:jc w:val="center"/>
              <w:rPr>
                <w:sz w:val="20"/>
                <w:szCs w:val="20"/>
              </w:rPr>
            </w:pPr>
            <w:r>
              <w:rPr>
                <w:sz w:val="20"/>
                <w:szCs w:val="20"/>
              </w:rPr>
              <w:t>2,6</w:t>
            </w:r>
          </w:p>
        </w:tc>
      </w:tr>
      <w:tr w:rsidR="003C2F85" w14:paraId="245D5E7B" w14:textId="77777777" w:rsidTr="003C2F85">
        <w:tc>
          <w:tcPr>
            <w:tcW w:w="1035" w:type="dxa"/>
          </w:tcPr>
          <w:p w14:paraId="5A1D40E7" w14:textId="77777777" w:rsidR="003C2F85" w:rsidRPr="001F7B1A" w:rsidRDefault="003C2F85" w:rsidP="003C2F85">
            <w:pPr>
              <w:rPr>
                <w:sz w:val="20"/>
                <w:szCs w:val="20"/>
              </w:rPr>
            </w:pPr>
            <w:r w:rsidRPr="001F7B1A">
              <w:rPr>
                <w:sz w:val="20"/>
                <w:szCs w:val="20"/>
              </w:rPr>
              <w:t>3) 20%</w:t>
            </w:r>
          </w:p>
        </w:tc>
        <w:tc>
          <w:tcPr>
            <w:tcW w:w="840" w:type="dxa"/>
          </w:tcPr>
          <w:p w14:paraId="2F4FD521" w14:textId="77777777" w:rsidR="003C2F85" w:rsidRPr="00D32C1B" w:rsidRDefault="003C2F85" w:rsidP="003C2F85">
            <w:pPr>
              <w:rPr>
                <w:sz w:val="20"/>
                <w:szCs w:val="20"/>
              </w:rPr>
            </w:pPr>
            <w:r w:rsidRPr="00D32C1B">
              <w:rPr>
                <w:sz w:val="20"/>
                <w:szCs w:val="20"/>
              </w:rPr>
              <w:t>0-4</w:t>
            </w:r>
          </w:p>
        </w:tc>
        <w:tc>
          <w:tcPr>
            <w:tcW w:w="1045" w:type="dxa"/>
          </w:tcPr>
          <w:p w14:paraId="24B02C74" w14:textId="77777777" w:rsidR="003C2F85" w:rsidRPr="00D32C1B" w:rsidRDefault="003C2F85" w:rsidP="003C2F85">
            <w:pPr>
              <w:jc w:val="center"/>
              <w:rPr>
                <w:sz w:val="20"/>
                <w:szCs w:val="20"/>
              </w:rPr>
            </w:pPr>
            <w:r w:rsidRPr="00D32C1B">
              <w:rPr>
                <w:sz w:val="20"/>
                <w:szCs w:val="20"/>
              </w:rPr>
              <w:t>2</w:t>
            </w:r>
          </w:p>
        </w:tc>
        <w:tc>
          <w:tcPr>
            <w:tcW w:w="1045" w:type="dxa"/>
          </w:tcPr>
          <w:p w14:paraId="15A63356" w14:textId="77777777" w:rsidR="003C2F85" w:rsidRPr="00D32C1B" w:rsidRDefault="003C2F85" w:rsidP="003C2F85">
            <w:pPr>
              <w:jc w:val="center"/>
              <w:rPr>
                <w:sz w:val="20"/>
                <w:szCs w:val="20"/>
              </w:rPr>
            </w:pPr>
            <w:r w:rsidRPr="00D32C1B">
              <w:rPr>
                <w:sz w:val="20"/>
                <w:szCs w:val="20"/>
              </w:rPr>
              <w:t>0</w:t>
            </w:r>
          </w:p>
        </w:tc>
        <w:tc>
          <w:tcPr>
            <w:tcW w:w="1045" w:type="dxa"/>
          </w:tcPr>
          <w:p w14:paraId="240C31E0" w14:textId="77777777" w:rsidR="003C2F85" w:rsidRPr="00D32C1B" w:rsidRDefault="003C2F85" w:rsidP="003C2F85">
            <w:pPr>
              <w:jc w:val="center"/>
              <w:rPr>
                <w:sz w:val="20"/>
                <w:szCs w:val="20"/>
              </w:rPr>
            </w:pPr>
            <w:r w:rsidRPr="00D32C1B">
              <w:rPr>
                <w:sz w:val="20"/>
                <w:szCs w:val="20"/>
              </w:rPr>
              <w:t>1</w:t>
            </w:r>
          </w:p>
        </w:tc>
        <w:tc>
          <w:tcPr>
            <w:tcW w:w="1045" w:type="dxa"/>
          </w:tcPr>
          <w:p w14:paraId="02E22ABB" w14:textId="77777777" w:rsidR="003C2F85" w:rsidRPr="00D32C1B" w:rsidRDefault="003C2F85" w:rsidP="003C2F85">
            <w:pPr>
              <w:jc w:val="center"/>
              <w:rPr>
                <w:sz w:val="20"/>
                <w:szCs w:val="20"/>
              </w:rPr>
            </w:pPr>
            <w:r w:rsidRPr="00D32C1B">
              <w:rPr>
                <w:sz w:val="20"/>
                <w:szCs w:val="20"/>
              </w:rPr>
              <w:t>0</w:t>
            </w:r>
          </w:p>
        </w:tc>
        <w:tc>
          <w:tcPr>
            <w:tcW w:w="1045" w:type="dxa"/>
          </w:tcPr>
          <w:p w14:paraId="398DFEEF" w14:textId="77777777" w:rsidR="003C2F85" w:rsidRPr="00D32C1B" w:rsidRDefault="003C2F85" w:rsidP="003C2F85">
            <w:pPr>
              <w:jc w:val="center"/>
              <w:rPr>
                <w:sz w:val="20"/>
                <w:szCs w:val="20"/>
              </w:rPr>
            </w:pPr>
            <w:r w:rsidRPr="00D32C1B">
              <w:rPr>
                <w:sz w:val="20"/>
                <w:szCs w:val="20"/>
              </w:rPr>
              <w:t>2</w:t>
            </w:r>
          </w:p>
        </w:tc>
        <w:tc>
          <w:tcPr>
            <w:tcW w:w="1077" w:type="dxa"/>
          </w:tcPr>
          <w:p w14:paraId="1779D6BE" w14:textId="77777777" w:rsidR="003C2F85" w:rsidRPr="00D32C1B" w:rsidRDefault="003C2F85" w:rsidP="003C2F85">
            <w:pPr>
              <w:jc w:val="center"/>
              <w:rPr>
                <w:sz w:val="20"/>
                <w:szCs w:val="20"/>
              </w:rPr>
            </w:pPr>
            <w:r w:rsidRPr="00D32C1B">
              <w:rPr>
                <w:sz w:val="20"/>
                <w:szCs w:val="20"/>
              </w:rPr>
              <w:t>5</w:t>
            </w:r>
          </w:p>
        </w:tc>
        <w:tc>
          <w:tcPr>
            <w:tcW w:w="1070" w:type="dxa"/>
          </w:tcPr>
          <w:p w14:paraId="382FFF2E" w14:textId="77777777" w:rsidR="003C2F85" w:rsidRPr="00D32C1B" w:rsidRDefault="003C2F85" w:rsidP="003C2F85">
            <w:pPr>
              <w:jc w:val="center"/>
              <w:rPr>
                <w:sz w:val="20"/>
                <w:szCs w:val="20"/>
              </w:rPr>
            </w:pPr>
            <w:r>
              <w:rPr>
                <w:sz w:val="20"/>
                <w:szCs w:val="20"/>
              </w:rPr>
              <w:t>1,0</w:t>
            </w:r>
          </w:p>
        </w:tc>
      </w:tr>
      <w:tr w:rsidR="003C2F85" w14:paraId="5F58977A" w14:textId="77777777" w:rsidTr="003C2F85">
        <w:tc>
          <w:tcPr>
            <w:tcW w:w="1035" w:type="dxa"/>
          </w:tcPr>
          <w:p w14:paraId="2CFE5533" w14:textId="77777777" w:rsidR="003C2F85" w:rsidRPr="001F7B1A" w:rsidRDefault="003C2F85" w:rsidP="003C2F85">
            <w:pPr>
              <w:rPr>
                <w:sz w:val="20"/>
                <w:szCs w:val="20"/>
              </w:rPr>
            </w:pPr>
            <w:r w:rsidRPr="001F7B1A">
              <w:rPr>
                <w:sz w:val="20"/>
                <w:szCs w:val="20"/>
              </w:rPr>
              <w:t>4) 10%</w:t>
            </w:r>
          </w:p>
        </w:tc>
        <w:tc>
          <w:tcPr>
            <w:tcW w:w="840" w:type="dxa"/>
          </w:tcPr>
          <w:p w14:paraId="34174811" w14:textId="77777777" w:rsidR="003C2F85" w:rsidRPr="00D32C1B" w:rsidRDefault="003C2F85" w:rsidP="003C2F85">
            <w:pPr>
              <w:rPr>
                <w:sz w:val="20"/>
                <w:szCs w:val="20"/>
              </w:rPr>
            </w:pPr>
            <w:r w:rsidRPr="00D32C1B">
              <w:rPr>
                <w:sz w:val="20"/>
                <w:szCs w:val="20"/>
              </w:rPr>
              <w:t>0-4</w:t>
            </w:r>
          </w:p>
        </w:tc>
        <w:tc>
          <w:tcPr>
            <w:tcW w:w="1045" w:type="dxa"/>
          </w:tcPr>
          <w:p w14:paraId="7C34730A" w14:textId="77777777" w:rsidR="003C2F85" w:rsidRPr="00D32C1B" w:rsidRDefault="003C2F85" w:rsidP="003C2F85">
            <w:pPr>
              <w:jc w:val="center"/>
              <w:rPr>
                <w:sz w:val="20"/>
                <w:szCs w:val="20"/>
              </w:rPr>
            </w:pPr>
            <w:r w:rsidRPr="00D32C1B">
              <w:rPr>
                <w:sz w:val="20"/>
                <w:szCs w:val="20"/>
              </w:rPr>
              <w:t>3</w:t>
            </w:r>
          </w:p>
        </w:tc>
        <w:tc>
          <w:tcPr>
            <w:tcW w:w="1045" w:type="dxa"/>
          </w:tcPr>
          <w:p w14:paraId="032E2FB0" w14:textId="77777777" w:rsidR="003C2F85" w:rsidRPr="00D32C1B" w:rsidRDefault="003C2F85" w:rsidP="003C2F85">
            <w:pPr>
              <w:jc w:val="center"/>
              <w:rPr>
                <w:sz w:val="20"/>
                <w:szCs w:val="20"/>
              </w:rPr>
            </w:pPr>
            <w:r w:rsidRPr="00D32C1B">
              <w:rPr>
                <w:sz w:val="20"/>
                <w:szCs w:val="20"/>
              </w:rPr>
              <w:t>1</w:t>
            </w:r>
          </w:p>
        </w:tc>
        <w:tc>
          <w:tcPr>
            <w:tcW w:w="1045" w:type="dxa"/>
          </w:tcPr>
          <w:p w14:paraId="1DE81987" w14:textId="77777777" w:rsidR="003C2F85" w:rsidRPr="00D32C1B" w:rsidRDefault="003C2F85" w:rsidP="003C2F85">
            <w:pPr>
              <w:jc w:val="center"/>
              <w:rPr>
                <w:sz w:val="20"/>
                <w:szCs w:val="20"/>
              </w:rPr>
            </w:pPr>
            <w:r w:rsidRPr="00D32C1B">
              <w:rPr>
                <w:sz w:val="20"/>
                <w:szCs w:val="20"/>
              </w:rPr>
              <w:t>4</w:t>
            </w:r>
          </w:p>
        </w:tc>
        <w:tc>
          <w:tcPr>
            <w:tcW w:w="1045" w:type="dxa"/>
          </w:tcPr>
          <w:p w14:paraId="6C28186C" w14:textId="77777777" w:rsidR="003C2F85" w:rsidRPr="00D32C1B" w:rsidRDefault="003C2F85" w:rsidP="003C2F85">
            <w:pPr>
              <w:jc w:val="center"/>
              <w:rPr>
                <w:sz w:val="20"/>
                <w:szCs w:val="20"/>
              </w:rPr>
            </w:pPr>
            <w:r w:rsidRPr="00D32C1B">
              <w:rPr>
                <w:sz w:val="20"/>
                <w:szCs w:val="20"/>
              </w:rPr>
              <w:t>2</w:t>
            </w:r>
          </w:p>
        </w:tc>
        <w:tc>
          <w:tcPr>
            <w:tcW w:w="1045" w:type="dxa"/>
          </w:tcPr>
          <w:p w14:paraId="593DE9E8" w14:textId="77777777" w:rsidR="003C2F85" w:rsidRPr="00D32C1B" w:rsidRDefault="003C2F85" w:rsidP="003C2F85">
            <w:pPr>
              <w:jc w:val="center"/>
              <w:rPr>
                <w:sz w:val="20"/>
                <w:szCs w:val="20"/>
              </w:rPr>
            </w:pPr>
            <w:r w:rsidRPr="00D32C1B">
              <w:rPr>
                <w:sz w:val="20"/>
                <w:szCs w:val="20"/>
              </w:rPr>
              <w:t>2</w:t>
            </w:r>
          </w:p>
        </w:tc>
        <w:tc>
          <w:tcPr>
            <w:tcW w:w="1077" w:type="dxa"/>
          </w:tcPr>
          <w:p w14:paraId="37436118" w14:textId="77777777" w:rsidR="003C2F85" w:rsidRPr="00D32C1B" w:rsidRDefault="003C2F85" w:rsidP="003C2F85">
            <w:pPr>
              <w:jc w:val="center"/>
              <w:rPr>
                <w:sz w:val="20"/>
                <w:szCs w:val="20"/>
              </w:rPr>
            </w:pPr>
            <w:r w:rsidRPr="00D32C1B">
              <w:rPr>
                <w:sz w:val="20"/>
                <w:szCs w:val="20"/>
              </w:rPr>
              <w:t>12</w:t>
            </w:r>
          </w:p>
        </w:tc>
        <w:tc>
          <w:tcPr>
            <w:tcW w:w="1070" w:type="dxa"/>
          </w:tcPr>
          <w:p w14:paraId="2EF09A34" w14:textId="77777777" w:rsidR="003C2F85" w:rsidRPr="00D32C1B" w:rsidRDefault="003C2F85" w:rsidP="003C2F85">
            <w:pPr>
              <w:jc w:val="center"/>
              <w:rPr>
                <w:sz w:val="20"/>
                <w:szCs w:val="20"/>
              </w:rPr>
            </w:pPr>
            <w:r>
              <w:rPr>
                <w:sz w:val="20"/>
                <w:szCs w:val="20"/>
              </w:rPr>
              <w:t>2,4</w:t>
            </w:r>
          </w:p>
        </w:tc>
      </w:tr>
    </w:tbl>
    <w:p w14:paraId="64B8144F" w14:textId="77777777" w:rsidR="00A467BE" w:rsidRDefault="00A467BE" w:rsidP="00203811">
      <w:pPr>
        <w:jc w:val="both"/>
      </w:pPr>
    </w:p>
    <w:p w14:paraId="04F0179C" w14:textId="042556D0" w:rsidR="00A467BE" w:rsidRDefault="0024460A" w:rsidP="00203811">
      <w:pPr>
        <w:jc w:val="both"/>
      </w:pPr>
      <w:r>
        <w:t>Lõike</w:t>
      </w:r>
      <w:r w:rsidR="00105E3C">
        <w:t>s</w:t>
      </w:r>
      <w:r>
        <w:t xml:space="preserve"> 2 </w:t>
      </w:r>
      <w:r w:rsidR="00105E3C">
        <w:t>korratakse selguse huvides üle</w:t>
      </w:r>
      <w:r w:rsidR="00BD368B">
        <w:t xml:space="preserve"> tegevuskava nõuetele vastavuse, mis on tegevuskava heakskiitmise eelduseks, tingimus. </w:t>
      </w:r>
      <w:r w:rsidR="00BD368B" w:rsidRPr="00BD368B">
        <w:t>Tegevuskava vastab nõuetele, kui mesin</w:t>
      </w:r>
      <w:r w:rsidR="00BD368B">
        <w:t>duskogu, tegevuskava ja selles kavandatavad</w:t>
      </w:r>
      <w:r w:rsidR="00BD368B" w:rsidRPr="00BD368B">
        <w:t xml:space="preserve"> tegevus</w:t>
      </w:r>
      <w:r w:rsidR="00BD368B">
        <w:t>ed</w:t>
      </w:r>
      <w:r w:rsidR="00BD368B" w:rsidRPr="00BD368B">
        <w:t xml:space="preserve"> vastavad EL õigusaktides, E</w:t>
      </w:r>
      <w:r w:rsidR="001D106D">
        <w:t>LÜPS-s</w:t>
      </w:r>
      <w:r w:rsidR="00BD368B" w:rsidRPr="00BD368B">
        <w:t xml:space="preserve"> ja määruses sätestatud nõuetele.</w:t>
      </w:r>
    </w:p>
    <w:p w14:paraId="09C66749" w14:textId="77777777" w:rsidR="00A467BE" w:rsidRDefault="00A467BE" w:rsidP="00203811">
      <w:pPr>
        <w:jc w:val="both"/>
      </w:pPr>
    </w:p>
    <w:p w14:paraId="1B75040F" w14:textId="27801E8A" w:rsidR="00BD368B" w:rsidRDefault="00BD368B" w:rsidP="00203811">
      <w:pPr>
        <w:jc w:val="both"/>
      </w:pPr>
      <w:r>
        <w:t>Lõikes 3 sätestatakse</w:t>
      </w:r>
      <w:r w:rsidR="00081AFB">
        <w:t xml:space="preserve">, et tegevuskava jäetakse heaks kiitmata, </w:t>
      </w:r>
      <w:r>
        <w:t xml:space="preserve">kui </w:t>
      </w:r>
      <w:r w:rsidRPr="00BD368B">
        <w:t>tegevuskava nõuetele vastavuse kontrollimise käigus tehakse kindlaks</w:t>
      </w:r>
      <w:r w:rsidR="00081AFB">
        <w:t xml:space="preserve"> </w:t>
      </w:r>
      <w:r w:rsidR="00F9366D">
        <w:t>vähemalt üks järgmistest</w:t>
      </w:r>
      <w:r w:rsidR="00081AFB">
        <w:t xml:space="preserve"> ELÜPS § 19 lõikes 3 sätestatud heaks kiitmata </w:t>
      </w:r>
      <w:r w:rsidR="00F9366D">
        <w:t>jätmise otsuse tegemise alustest</w:t>
      </w:r>
      <w:r w:rsidR="00081AFB">
        <w:t>:</w:t>
      </w:r>
    </w:p>
    <w:p w14:paraId="73297130" w14:textId="77777777" w:rsidR="00081AFB" w:rsidRPr="00081AFB" w:rsidRDefault="00081AFB" w:rsidP="00081AFB">
      <w:pPr>
        <w:jc w:val="both"/>
        <w:rPr>
          <w:rFonts w:eastAsiaTheme="minorHAnsi"/>
        </w:rPr>
      </w:pPr>
      <w:r>
        <w:t xml:space="preserve">1) </w:t>
      </w:r>
      <w:r w:rsidRPr="00081AFB">
        <w:rPr>
          <w:rFonts w:eastAsiaTheme="minorHAnsi"/>
        </w:rPr>
        <w:t>mesinduskogu ei vasta talle esitatud nõuetele;</w:t>
      </w:r>
    </w:p>
    <w:p w14:paraId="17E8320E" w14:textId="77777777" w:rsidR="00081AFB" w:rsidRPr="00081AFB" w:rsidRDefault="00081AFB" w:rsidP="00081AFB">
      <w:pPr>
        <w:autoSpaceDE/>
        <w:autoSpaceDN/>
        <w:jc w:val="both"/>
        <w:rPr>
          <w:rFonts w:eastAsiaTheme="minorHAnsi"/>
        </w:rPr>
      </w:pPr>
      <w:r w:rsidRPr="00081AFB">
        <w:rPr>
          <w:rFonts w:eastAsiaTheme="minorHAnsi"/>
        </w:rPr>
        <w:t>2) tegevuskava ei vasta sellele esitatud nõuetele;</w:t>
      </w:r>
    </w:p>
    <w:p w14:paraId="41D5010D" w14:textId="77777777" w:rsidR="00081AFB" w:rsidRPr="00081AFB" w:rsidRDefault="00081AFB" w:rsidP="00081AFB">
      <w:pPr>
        <w:autoSpaceDE/>
        <w:autoSpaceDN/>
        <w:jc w:val="both"/>
        <w:rPr>
          <w:rFonts w:eastAsiaTheme="minorHAnsi"/>
        </w:rPr>
      </w:pPr>
      <w:r w:rsidRPr="00081AFB">
        <w:rPr>
          <w:rFonts w:eastAsiaTheme="minorHAnsi"/>
        </w:rPr>
        <w:t xml:space="preserve">3) tegevuskavas või tegevuskava heakskiitmise menetluse käigus on teadlikult esitatud valeandmeid; </w:t>
      </w:r>
    </w:p>
    <w:p w14:paraId="239631E1" w14:textId="77777777" w:rsidR="00081AFB" w:rsidRPr="00081AFB" w:rsidRDefault="00081AFB" w:rsidP="00081AFB">
      <w:pPr>
        <w:autoSpaceDE/>
        <w:autoSpaceDN/>
        <w:jc w:val="both"/>
        <w:rPr>
          <w:rFonts w:eastAsiaTheme="minorHAnsi"/>
        </w:rPr>
      </w:pPr>
      <w:r w:rsidRPr="00081AFB">
        <w:rPr>
          <w:rFonts w:eastAsiaTheme="minorHAnsi"/>
        </w:rPr>
        <w:t>4) mesinduskogu ei esita ega tee teatavaks menetluses tähtsust omavaid asjaolusid ja tõendeid või takistab kohapealse kontrolli tegemist;</w:t>
      </w:r>
    </w:p>
    <w:p w14:paraId="54045CA1" w14:textId="77777777" w:rsidR="00081AFB" w:rsidRPr="00081AFB" w:rsidRDefault="00081AFB" w:rsidP="00081AFB">
      <w:pPr>
        <w:autoSpaceDE/>
        <w:autoSpaceDN/>
        <w:jc w:val="both"/>
        <w:rPr>
          <w:rFonts w:eastAsiaTheme="minorHAnsi"/>
        </w:rPr>
      </w:pPr>
      <w:r w:rsidRPr="00081AFB">
        <w:rPr>
          <w:rFonts w:eastAsiaTheme="minorHAnsi"/>
        </w:rPr>
        <w:t>5) esitatud on mitu tegevuskava ja kõnealune tegevuskava ei tulnud nende paremusjärjestuses esimesele kohale;</w:t>
      </w:r>
    </w:p>
    <w:p w14:paraId="466268CD" w14:textId="77777777" w:rsidR="00081AFB" w:rsidRDefault="00081AFB" w:rsidP="00081AFB">
      <w:pPr>
        <w:jc w:val="both"/>
      </w:pPr>
      <w:r w:rsidRPr="00081AFB">
        <w:rPr>
          <w:rFonts w:eastAsiaTheme="minorHAnsi"/>
        </w:rPr>
        <w:t>6) tegevuskava rahastamiseks ei ole piisavalt rahalisi vahendeid.</w:t>
      </w:r>
    </w:p>
    <w:p w14:paraId="485B51EB" w14:textId="77777777" w:rsidR="00F85A52" w:rsidRDefault="00F85A52" w:rsidP="00203811">
      <w:pPr>
        <w:jc w:val="both"/>
      </w:pPr>
    </w:p>
    <w:p w14:paraId="72628F37" w14:textId="2E6EF1DA" w:rsidR="00A467BE" w:rsidRDefault="00462573" w:rsidP="00203811">
      <w:pPr>
        <w:jc w:val="both"/>
      </w:pPr>
      <w:r>
        <w:t>Lõikega</w:t>
      </w:r>
      <w:r w:rsidR="00081AFB">
        <w:t xml:space="preserve"> 4 </w:t>
      </w:r>
      <w:r>
        <w:t>antakse</w:t>
      </w:r>
      <w:r w:rsidRPr="00462573">
        <w:t xml:space="preserve"> </w:t>
      </w:r>
      <w:r>
        <w:t>tegevuskavas mitt</w:t>
      </w:r>
      <w:r w:rsidR="009C64E7">
        <w:t>eabikõlblike kulude sisaldumise korral</w:t>
      </w:r>
      <w:r>
        <w:t xml:space="preserve"> PRIA-le võimalus tegevuskava osaliseks heakskiitmiseks. Sellisel juhul jäetakse mitteabikõlblikke kulusid sisaldavad tegevused tegevuskavast välja ning tegevuskava eelarvet vähendatakse</w:t>
      </w:r>
      <w:r w:rsidR="004B3324">
        <w:t xml:space="preserve"> mitteabikõlblike kulude võrra.</w:t>
      </w:r>
      <w:r w:rsidR="00691F9B">
        <w:t xml:space="preserve"> Tegevuskava osalise heakskiitmise tingimuseks on, et see ei kahjusta mesindussektori</w:t>
      </w:r>
      <w:r w:rsidR="00B24457">
        <w:t>sse</w:t>
      </w:r>
      <w:r w:rsidR="00691F9B">
        <w:t xml:space="preserve"> sekkumise eesmärgi saavutamist.</w:t>
      </w:r>
    </w:p>
    <w:p w14:paraId="4A1D31EF" w14:textId="77777777" w:rsidR="00A467BE" w:rsidRDefault="00A467BE" w:rsidP="00203811">
      <w:pPr>
        <w:jc w:val="both"/>
      </w:pPr>
    </w:p>
    <w:p w14:paraId="5D116887" w14:textId="77777777" w:rsidR="0081442C" w:rsidRDefault="0081442C" w:rsidP="0081442C">
      <w:pPr>
        <w:jc w:val="both"/>
      </w:pPr>
      <w:r>
        <w:t xml:space="preserve">Lõike 5 kohaselt loetakse tegevuskava heakskiitmisega </w:t>
      </w:r>
      <w:r w:rsidR="00425A25">
        <w:t xml:space="preserve">mesinduskogu toetuse </w:t>
      </w:r>
      <w:r>
        <w:t xml:space="preserve">taotlus </w:t>
      </w:r>
      <w:r w:rsidR="00425A25">
        <w:t>rahuldatuks</w:t>
      </w:r>
      <w:r>
        <w:t>.</w:t>
      </w:r>
    </w:p>
    <w:p w14:paraId="7FE3E08D" w14:textId="77777777" w:rsidR="00425A25" w:rsidRDefault="00425A25" w:rsidP="0081442C">
      <w:pPr>
        <w:jc w:val="both"/>
      </w:pPr>
    </w:p>
    <w:p w14:paraId="642A756F" w14:textId="7CE5739A" w:rsidR="00425A25" w:rsidRDefault="008C55DD" w:rsidP="0081442C">
      <w:pPr>
        <w:jc w:val="both"/>
      </w:pPr>
      <w:r>
        <w:t>Lõikega</w:t>
      </w:r>
      <w:r w:rsidR="00425A25">
        <w:t xml:space="preserve"> 6 sätestatakse</w:t>
      </w:r>
      <w:r w:rsidR="000F3F62">
        <w:t xml:space="preserve">, et </w:t>
      </w:r>
      <w:r w:rsidR="000F3F62" w:rsidRPr="000F3F62">
        <w:t xml:space="preserve">tegevuskava osalise või täieliku heakskiitmise otsuse või tegevuskava heaks kiitmata jätmise otsuse </w:t>
      </w:r>
      <w:r w:rsidR="000F3F62">
        <w:t>teeb PRIA 60</w:t>
      </w:r>
      <w:r w:rsidR="000F3F62" w:rsidRPr="000F3F62">
        <w:t xml:space="preserve"> tööpäeva jooksul</w:t>
      </w:r>
      <w:r w:rsidR="000F3F62">
        <w:t xml:space="preserve"> tegevuskava esitamise</w:t>
      </w:r>
      <w:r w:rsidR="00691F9B">
        <w:t xml:space="preserve"> tähtpäeva</w:t>
      </w:r>
      <w:r w:rsidR="000F3F62" w:rsidRPr="000F3F62">
        <w:t>st arvates</w:t>
      </w:r>
      <w:r w:rsidR="000F3F62">
        <w:t>.</w:t>
      </w:r>
      <w:r w:rsidR="00425A25">
        <w:t xml:space="preserve"> </w:t>
      </w:r>
    </w:p>
    <w:p w14:paraId="4BE81909" w14:textId="77777777" w:rsidR="00A467BE" w:rsidRDefault="00A467BE" w:rsidP="00203811">
      <w:pPr>
        <w:jc w:val="both"/>
      </w:pPr>
    </w:p>
    <w:p w14:paraId="221555D3" w14:textId="067DD47F" w:rsidR="000F3F62" w:rsidRDefault="000F3F62" w:rsidP="00203811">
      <w:pPr>
        <w:jc w:val="both"/>
      </w:pPr>
      <w:r w:rsidRPr="000F3F62">
        <w:rPr>
          <w:b/>
        </w:rPr>
        <w:t>Eelnõu §-ga 1</w:t>
      </w:r>
      <w:r w:rsidR="00624287">
        <w:rPr>
          <w:b/>
        </w:rPr>
        <w:t>2</w:t>
      </w:r>
      <w:r>
        <w:t xml:space="preserve"> </w:t>
      </w:r>
      <w:r w:rsidRPr="00D91160">
        <w:t>sätestatakse</w:t>
      </w:r>
      <w:r w:rsidR="00ED74F3" w:rsidRPr="00D91160">
        <w:t xml:space="preserve"> </w:t>
      </w:r>
      <w:r w:rsidR="00AD5678" w:rsidRPr="00D91160">
        <w:t xml:space="preserve">heakskiidetud </w:t>
      </w:r>
      <w:r w:rsidR="00F36384" w:rsidRPr="00D91160">
        <w:t>tegevuskava muutmise võimalused.</w:t>
      </w:r>
    </w:p>
    <w:p w14:paraId="278A342E" w14:textId="77777777" w:rsidR="000F3F62" w:rsidRDefault="000F3F62" w:rsidP="00E6170A">
      <w:pPr>
        <w:jc w:val="both"/>
      </w:pPr>
    </w:p>
    <w:p w14:paraId="7CA55DAF" w14:textId="7A25CFFE" w:rsidR="00D91160" w:rsidRDefault="00E6170A" w:rsidP="00E6170A">
      <w:pPr>
        <w:jc w:val="both"/>
      </w:pPr>
      <w:r w:rsidRPr="00E6170A">
        <w:t xml:space="preserve">Lõike 1 kohaselt </w:t>
      </w:r>
      <w:r>
        <w:t>võib mesinduskogu PRIA poolt heakskiidetud tegevuskavas muud</w:t>
      </w:r>
      <w:r w:rsidR="00FD2915">
        <w:t>atuse tegemise vajaduse</w:t>
      </w:r>
      <w:r>
        <w:t xml:space="preserve"> korral esitada </w:t>
      </w:r>
      <w:r w:rsidRPr="00E6170A">
        <w:t>hiljemalt 60 päeva</w:t>
      </w:r>
      <w:r w:rsidRPr="005474FB">
        <w:t xml:space="preserve"> enne eelarve</w:t>
      </w:r>
      <w:r>
        <w:t>aasta, mida tegevuskavas teh</w:t>
      </w:r>
      <w:r w:rsidRPr="005474FB">
        <w:t>tav muudatus puudutab, algust PRIA</w:t>
      </w:r>
      <w:r>
        <w:t xml:space="preserve">-le elektrooniliselt PRIA e-teenuse keskkonna kaudu tegevuskava muutmise taotluse koos koosoleku, millel tegevuskava muutmise otsus tehti, protokolli ärakirjaga. </w:t>
      </w:r>
      <w:r w:rsidR="00AD6D68">
        <w:t>See tähendab, et kolme eelarveaasta pikkuse perioodi kohta koostatud tegevuskava rakendamise esimesel eelarveaastal on võimalik taotleda muudatuse tegemist teise ja kolmanda eelarveaasta tegevuste osas ning teisel eelarveaastal kolmanda eelarveaasta tegevuste osas.</w:t>
      </w:r>
      <w:r w:rsidR="00FC22E7">
        <w:t xml:space="preserve"> Muudatust saab teha </w:t>
      </w:r>
      <w:r w:rsidR="004310B7">
        <w:t xml:space="preserve">vaid </w:t>
      </w:r>
      <w:r w:rsidR="00D85889">
        <w:t>sama sekkumisviisi piires. S</w:t>
      </w:r>
      <w:r w:rsidR="004310B7">
        <w:t>ee tähendab</w:t>
      </w:r>
      <w:r w:rsidR="00D85889">
        <w:t>,</w:t>
      </w:r>
      <w:r w:rsidR="004310B7">
        <w:t xml:space="preserve"> et </w:t>
      </w:r>
      <w:r w:rsidR="00D85889">
        <w:t xml:space="preserve">näiteks </w:t>
      </w:r>
      <w:r w:rsidR="004310B7">
        <w:t>mesi</w:t>
      </w:r>
      <w:r w:rsidR="00D85889">
        <w:t>nikele suunatud nõustamis</w:t>
      </w:r>
      <w:r w:rsidR="004310B7">
        <w:t>teenus</w:t>
      </w:r>
      <w:r w:rsidR="00D85889">
        <w:t>t</w:t>
      </w:r>
      <w:r w:rsidR="004310B7">
        <w:t xml:space="preserve">e, </w:t>
      </w:r>
      <w:r w:rsidR="00D85889">
        <w:t xml:space="preserve">tehnilise abi, koolituse, jne sekkumisviisi raames ettenähtud koolituse ära jäämisel võib selle asendada mingi teise tegevusega sama sekkumisviisi alt (nt mingi õppepäev, trükis, nõustamisteenus), kuid mitte meepäeva korraldamisega </w:t>
      </w:r>
      <w:r w:rsidR="00D85889" w:rsidRPr="001B2E0A">
        <w:rPr>
          <w:lang w:eastAsia="en-GB"/>
        </w:rPr>
        <w:t>müügiedendus</w:t>
      </w:r>
      <w:r w:rsidR="00D85889">
        <w:rPr>
          <w:lang w:eastAsia="en-GB"/>
        </w:rPr>
        <w:t>e</w:t>
      </w:r>
      <w:r w:rsidR="00D85889" w:rsidRPr="001B2E0A">
        <w:rPr>
          <w:lang w:eastAsia="en-GB"/>
        </w:rPr>
        <w:t>, teavitustegevus</w:t>
      </w:r>
      <w:r w:rsidR="00D85889">
        <w:rPr>
          <w:lang w:eastAsia="en-GB"/>
        </w:rPr>
        <w:t>e</w:t>
      </w:r>
      <w:r w:rsidR="00D85889" w:rsidRPr="001B2E0A">
        <w:rPr>
          <w:lang w:eastAsia="en-GB"/>
        </w:rPr>
        <w:t xml:space="preserve"> ja turundus</w:t>
      </w:r>
      <w:r w:rsidR="00D85889">
        <w:rPr>
          <w:lang w:eastAsia="en-GB"/>
        </w:rPr>
        <w:t>e sekkumisviisi alt.</w:t>
      </w:r>
      <w:r w:rsidR="00D85889">
        <w:t xml:space="preserve"> </w:t>
      </w:r>
      <w:r w:rsidR="00FC22E7">
        <w:t xml:space="preserve"> </w:t>
      </w:r>
    </w:p>
    <w:p w14:paraId="5ACA681C" w14:textId="2208EF96" w:rsidR="00AD6D68" w:rsidRDefault="00AD6D68" w:rsidP="00E6170A">
      <w:pPr>
        <w:jc w:val="both"/>
      </w:pPr>
    </w:p>
    <w:p w14:paraId="4BDC192B" w14:textId="7FEB2B56" w:rsidR="00AD6D68" w:rsidRDefault="00B84E12" w:rsidP="00E6170A">
      <w:pPr>
        <w:jc w:val="both"/>
      </w:pPr>
      <w:r>
        <w:lastRenderedPageBreak/>
        <w:t>Lõikega 2 täpsustatakse tegevuskava muutmise taotluse sisu. Taotluses esitatakse kavandatava muudatuse sisu, muudatuse vajalikkuse põhjendus ning hinnang muudatuse oodatava mõju kohta mesindussektori</w:t>
      </w:r>
      <w:r w:rsidR="00B24457">
        <w:t>sse</w:t>
      </w:r>
      <w:r>
        <w:t xml:space="preserve"> sekkumise eesmärgi täitmisele.</w:t>
      </w:r>
    </w:p>
    <w:p w14:paraId="2E4E6548" w14:textId="10904B68" w:rsidR="00B84E12" w:rsidRDefault="00B84E12" w:rsidP="00E6170A">
      <w:pPr>
        <w:jc w:val="both"/>
      </w:pPr>
    </w:p>
    <w:p w14:paraId="4072ABA6" w14:textId="095015A4" w:rsidR="002C2889" w:rsidRDefault="002C2889" w:rsidP="00E6170A">
      <w:pPr>
        <w:jc w:val="both"/>
      </w:pPr>
      <w:r>
        <w:t xml:space="preserve">Lõikega 3 sätestatakse, et </w:t>
      </w:r>
      <w:r w:rsidRPr="00781F5A">
        <w:t>tegevuskava muudatuse sisu, vajalikkust ja mõju mesindussektori</w:t>
      </w:r>
      <w:r>
        <w:t>sse</w:t>
      </w:r>
      <w:r w:rsidRPr="00781F5A">
        <w:t xml:space="preserve"> sekkum</w:t>
      </w:r>
      <w:r>
        <w:t>ise eesmärgi täitmisele hindab sama</w:t>
      </w:r>
      <w:r w:rsidRPr="00781F5A">
        <w:t xml:space="preserve"> hindamiskomisjon, </w:t>
      </w:r>
      <w:r>
        <w:t xml:space="preserve">mille PRIA </w:t>
      </w:r>
      <w:r w:rsidRPr="00EB2184">
        <w:t>moodu</w:t>
      </w:r>
      <w:r>
        <w:t xml:space="preserve">stab </w:t>
      </w:r>
      <w:r w:rsidRPr="00EB2184">
        <w:t>tegevusk</w:t>
      </w:r>
      <w:r>
        <w:t>avade hindamiseks ja nende</w:t>
      </w:r>
      <w:r w:rsidRPr="00EB2184">
        <w:t xml:space="preserve"> paremusjärjestuse koostamiseks</w:t>
      </w:r>
      <w:r>
        <w:t>. Hindamiskomisjon</w:t>
      </w:r>
      <w:r w:rsidRPr="00781F5A">
        <w:t xml:space="preserve"> teeb PRIA-le ettepaneku tegevuskava muutmise heakskiitmise või heaks kiitmata jätmise kohta.</w:t>
      </w:r>
    </w:p>
    <w:p w14:paraId="6679AB54" w14:textId="77777777" w:rsidR="002C2889" w:rsidRDefault="002C2889" w:rsidP="00E6170A">
      <w:pPr>
        <w:jc w:val="both"/>
      </w:pPr>
    </w:p>
    <w:p w14:paraId="0AA99CDE" w14:textId="56801777" w:rsidR="00B84E12" w:rsidRPr="00E6170A" w:rsidRDefault="00C722FF" w:rsidP="00E6170A">
      <w:pPr>
        <w:jc w:val="both"/>
      </w:pPr>
      <w:r>
        <w:t xml:space="preserve">Lõike </w:t>
      </w:r>
      <w:r w:rsidR="002C2889">
        <w:t>4</w:t>
      </w:r>
      <w:r>
        <w:t xml:space="preserve"> kohaselt teeb</w:t>
      </w:r>
      <w:r w:rsidRPr="00C722FF">
        <w:t xml:space="preserve"> </w:t>
      </w:r>
      <w:r>
        <w:t xml:space="preserve">PRIA tegevuskava muutmise heakskiitmise või heaks kiitmata jätmise otsuse </w:t>
      </w:r>
      <w:r w:rsidRPr="00C722FF">
        <w:t>6</w:t>
      </w:r>
      <w:r>
        <w:t>0</w:t>
      </w:r>
      <w:r w:rsidRPr="00D910C1">
        <w:t xml:space="preserve"> </w:t>
      </w:r>
      <w:r>
        <w:t>päeva jooksul taotluse saamisest</w:t>
      </w:r>
      <w:r w:rsidRPr="00C15057">
        <w:t xml:space="preserve"> </w:t>
      </w:r>
      <w:r>
        <w:t>arvates</w:t>
      </w:r>
      <w:r w:rsidR="00BD5175">
        <w:t>, hinnates</w:t>
      </w:r>
      <w:r w:rsidR="00BD5175" w:rsidRPr="00BD5175">
        <w:t xml:space="preserve"> </w:t>
      </w:r>
      <w:r w:rsidR="00BD5175">
        <w:t>muudatuse sisu ja vajalikkust ning mõju mesindussektori</w:t>
      </w:r>
      <w:r w:rsidR="00B24457">
        <w:t>sse</w:t>
      </w:r>
      <w:r w:rsidR="00BD5175">
        <w:t xml:space="preserve"> sekkumise eesmärgi täitmisele</w:t>
      </w:r>
      <w:r>
        <w:t xml:space="preserve">. </w:t>
      </w:r>
    </w:p>
    <w:p w14:paraId="1F5155A2" w14:textId="5D73EC62" w:rsidR="00D91160" w:rsidRDefault="00D91160" w:rsidP="00E6170A">
      <w:pPr>
        <w:jc w:val="both"/>
      </w:pPr>
    </w:p>
    <w:p w14:paraId="2C5B4855" w14:textId="5DC4AFC9" w:rsidR="00207359" w:rsidRDefault="008817D6" w:rsidP="00207359">
      <w:pPr>
        <w:jc w:val="both"/>
      </w:pPr>
      <w:r>
        <w:t xml:space="preserve">Lõikega </w:t>
      </w:r>
      <w:r w:rsidR="002C2889">
        <w:t>5</w:t>
      </w:r>
      <w:r>
        <w:t xml:space="preserve"> sätestatakse teatud tingimustel jooksva eelarveaasta tegevuskava muutmise võimalus. Tegevuskava rakendamise käigus võib selguda, et </w:t>
      </w:r>
      <w:r w:rsidR="008324D9">
        <w:t>mingit tegevuskavas antud eelarveaastal ettenähtud tegevust pole mingil põhjus</w:t>
      </w:r>
      <w:r>
        <w:t xml:space="preserve">el </w:t>
      </w:r>
      <w:r w:rsidR="008324D9">
        <w:t xml:space="preserve">selle eelarveaasta jooksul võimalik ellu viia. Näiteks tegevuskavas ettenähtud </w:t>
      </w:r>
      <w:r>
        <w:t xml:space="preserve">koolitust </w:t>
      </w:r>
      <w:r w:rsidR="008324D9">
        <w:t xml:space="preserve">pole võimalik </w:t>
      </w:r>
      <w:r w:rsidR="00207359">
        <w:t xml:space="preserve">sobiva koolitaja puudumise tõttu </w:t>
      </w:r>
      <w:r>
        <w:t xml:space="preserve">läbi viia, välisüritusel </w:t>
      </w:r>
      <w:r w:rsidR="008324D9">
        <w:t xml:space="preserve">ei ole </w:t>
      </w:r>
      <w:r w:rsidR="003C1AF4">
        <w:t>ürituse ärajäämise</w:t>
      </w:r>
      <w:r w:rsidR="008324D9">
        <w:t xml:space="preserve"> tõttu</w:t>
      </w:r>
      <w:r w:rsidR="008324D9" w:rsidRPr="008324D9">
        <w:t xml:space="preserve"> </w:t>
      </w:r>
      <w:r w:rsidR="008324D9">
        <w:t>võimalik osaleda, väljaantavat trükist pole materjalide ettevalmistamise hilinemise tõttu võimalik</w:t>
      </w:r>
      <w:r>
        <w:t xml:space="preserve"> </w:t>
      </w:r>
      <w:r w:rsidR="008324D9">
        <w:t xml:space="preserve">välja anda, jne. </w:t>
      </w:r>
      <w:r w:rsidR="00207359">
        <w:t xml:space="preserve">Sellistel operatiivselt ette tulla võivatel juhtudel võib mesinduskogu muuta jooksva eelarveaasta tegevuskava, </w:t>
      </w:r>
      <w:r w:rsidR="0023728E">
        <w:t xml:space="preserve">et </w:t>
      </w:r>
      <w:r w:rsidR="000D0507">
        <w:t>nende tegevuste jaoks ettenähtud</w:t>
      </w:r>
      <w:r w:rsidR="0023728E">
        <w:t xml:space="preserve"> vahend</w:t>
      </w:r>
      <w:r w:rsidR="000D0507">
        <w:t xml:space="preserve">eid kasutada teiste samalaadsete ning tegevuskava rakendamise </w:t>
      </w:r>
      <w:r w:rsidR="00FE1C75">
        <w:t>ja mesindussektori</w:t>
      </w:r>
      <w:r w:rsidR="00B24457">
        <w:t>sse</w:t>
      </w:r>
      <w:r w:rsidR="00FE1C75">
        <w:t xml:space="preserve"> sekkumise eesmärgi saavutamise </w:t>
      </w:r>
      <w:r w:rsidR="000D0507">
        <w:t xml:space="preserve">seisukohalt vajalike </w:t>
      </w:r>
      <w:r w:rsidR="0023728E">
        <w:t xml:space="preserve">tegevuste elluviimiseks. </w:t>
      </w:r>
      <w:r w:rsidR="001603FB">
        <w:t xml:space="preserve">Mesinduskogu esitab </w:t>
      </w:r>
      <w:r w:rsidR="00207359" w:rsidRPr="00F6704A">
        <w:t xml:space="preserve">PRIA-le kavandatava muudatuse sisu ja põhjenduse ning koosoleku, millel tegevuskava muutmise otsus tehti, protokolli ärakirja PRIA e-teenuse keskkonna kaudu vähemalt </w:t>
      </w:r>
      <w:r w:rsidR="00207359" w:rsidRPr="00207359">
        <w:t>30 p</w:t>
      </w:r>
      <w:r w:rsidR="00207359" w:rsidRPr="00F6704A">
        <w:t>äeva enne kavandatava muudatuse rakendamist.</w:t>
      </w:r>
      <w:r w:rsidR="00207359" w:rsidRPr="00207359">
        <w:t xml:space="preserve"> </w:t>
      </w:r>
      <w:r w:rsidR="001603FB">
        <w:t>Jooksval eelarveaastal tehtava</w:t>
      </w:r>
      <w:r w:rsidR="00207359">
        <w:t xml:space="preserve"> muudatuse tingimus</w:t>
      </w:r>
      <w:r w:rsidR="001603FB">
        <w:t>t</w:t>
      </w:r>
      <w:r w:rsidR="00207359">
        <w:t>eks on</w:t>
      </w:r>
      <w:r w:rsidR="001603FB">
        <w:t>, et ära</w:t>
      </w:r>
      <w:r w:rsidR="003851B2">
        <w:t xml:space="preserve"> </w:t>
      </w:r>
      <w:r w:rsidR="001603FB">
        <w:t>jäävat tegevust asendav tegevus jääb sama mesindussektori</w:t>
      </w:r>
      <w:r w:rsidR="00B24457">
        <w:t>sse</w:t>
      </w:r>
      <w:r w:rsidR="001603FB">
        <w:t xml:space="preserve"> </w:t>
      </w:r>
      <w:r w:rsidR="00D715C3">
        <w:t>sekkumis</w:t>
      </w:r>
      <w:r w:rsidR="00B24457">
        <w:t xml:space="preserve">e </w:t>
      </w:r>
      <w:r w:rsidR="00D715C3">
        <w:t>viisi piiresse. N</w:t>
      </w:r>
      <w:r w:rsidR="001603FB">
        <w:t xml:space="preserve">äiteks võib </w:t>
      </w:r>
      <w:r w:rsidR="00D715C3">
        <w:t>ära</w:t>
      </w:r>
      <w:r w:rsidR="003851B2">
        <w:t xml:space="preserve"> </w:t>
      </w:r>
      <w:r w:rsidR="00D715C3">
        <w:t xml:space="preserve">jääva koolituse asendada teise koolituse või õppepäeva korraldamise või trükise väljaandmisega, kuid mitte meepäeva korraldamisega </w:t>
      </w:r>
      <w:r w:rsidR="00D715C3" w:rsidRPr="001B2E0A">
        <w:rPr>
          <w:lang w:eastAsia="en-GB"/>
        </w:rPr>
        <w:t>müügiedendus</w:t>
      </w:r>
      <w:r w:rsidR="00D715C3">
        <w:rPr>
          <w:lang w:eastAsia="en-GB"/>
        </w:rPr>
        <w:t>e</w:t>
      </w:r>
      <w:r w:rsidR="00D715C3" w:rsidRPr="001B2E0A">
        <w:rPr>
          <w:lang w:eastAsia="en-GB"/>
        </w:rPr>
        <w:t>, teavitustegevus</w:t>
      </w:r>
      <w:r w:rsidR="00D715C3">
        <w:rPr>
          <w:lang w:eastAsia="en-GB"/>
        </w:rPr>
        <w:t>e</w:t>
      </w:r>
      <w:r w:rsidR="00D715C3" w:rsidRPr="001B2E0A">
        <w:rPr>
          <w:lang w:eastAsia="en-GB"/>
        </w:rPr>
        <w:t xml:space="preserve"> ja turundus</w:t>
      </w:r>
      <w:r w:rsidR="00D715C3">
        <w:rPr>
          <w:lang w:eastAsia="en-GB"/>
        </w:rPr>
        <w:t>e sekkumisviisi alt.</w:t>
      </w:r>
      <w:r w:rsidR="001603FB">
        <w:t xml:space="preserve"> </w:t>
      </w:r>
      <w:r w:rsidR="00D715C3">
        <w:t xml:space="preserve">Samuti ei </w:t>
      </w:r>
      <w:r w:rsidR="003851B2">
        <w:t xml:space="preserve">tohi muudatuse või muudatuste rahaline suurus kokku </w:t>
      </w:r>
      <w:r w:rsidR="00D715C3">
        <w:t xml:space="preserve">ületada 10% antud eelarveaastal asjakohase sekkumisviisi tegevuste rahastamiseks eraldatud rahalistest vahenditest.  </w:t>
      </w:r>
      <w:r w:rsidR="00207359">
        <w:t xml:space="preserve"> </w:t>
      </w:r>
    </w:p>
    <w:p w14:paraId="20F58172" w14:textId="6454A64B" w:rsidR="00D715C3" w:rsidRDefault="00D715C3" w:rsidP="00207359">
      <w:pPr>
        <w:jc w:val="both"/>
      </w:pPr>
    </w:p>
    <w:p w14:paraId="1E7C8203" w14:textId="285C0766" w:rsidR="003851B2" w:rsidRDefault="003851B2" w:rsidP="00207359">
      <w:pPr>
        <w:jc w:val="both"/>
      </w:pPr>
      <w:r>
        <w:t xml:space="preserve">Lõike </w:t>
      </w:r>
      <w:r w:rsidR="002C2889">
        <w:t>6</w:t>
      </w:r>
      <w:r>
        <w:t xml:space="preserve"> kohaselt hindab PRIA jooksva eelarveaasta tegevuskava muutmise</w:t>
      </w:r>
      <w:r w:rsidRPr="003851B2">
        <w:t xml:space="preserve"> </w:t>
      </w:r>
      <w:r>
        <w:t xml:space="preserve">nõuetele vastavust ja põhjendatust ning teeb muutmise heakskiitmise või heaks kiitmata jätmise otsuse </w:t>
      </w:r>
      <w:r w:rsidRPr="003851B2">
        <w:t>10 p</w:t>
      </w:r>
      <w:r>
        <w:t>äeva jooksul muutmise teavituse saamisest arvates.</w:t>
      </w:r>
    </w:p>
    <w:p w14:paraId="1720058A" w14:textId="77777777" w:rsidR="003851B2" w:rsidRDefault="003851B2" w:rsidP="00207359">
      <w:pPr>
        <w:jc w:val="both"/>
      </w:pPr>
    </w:p>
    <w:p w14:paraId="0A909269" w14:textId="4DC29E3C" w:rsidR="00FD2915" w:rsidRDefault="00D85889" w:rsidP="00FD2915">
      <w:pPr>
        <w:jc w:val="both"/>
        <w:rPr>
          <w:color w:val="000000" w:themeColor="text1"/>
        </w:rPr>
      </w:pPr>
      <w:r>
        <w:rPr>
          <w:color w:val="000000" w:themeColor="text1"/>
        </w:rPr>
        <w:t xml:space="preserve">Lõikega </w:t>
      </w:r>
      <w:r w:rsidR="002C2889">
        <w:rPr>
          <w:color w:val="000000" w:themeColor="text1"/>
        </w:rPr>
        <w:t>7</w:t>
      </w:r>
      <w:r>
        <w:rPr>
          <w:color w:val="000000" w:themeColor="text1"/>
        </w:rPr>
        <w:t xml:space="preserve"> sätestatakse, et nii lõike 1 kohaselt järgmise eelarveaasta te</w:t>
      </w:r>
      <w:r w:rsidR="0098719C">
        <w:rPr>
          <w:color w:val="000000" w:themeColor="text1"/>
        </w:rPr>
        <w:t>gevuste muutmisel</w:t>
      </w:r>
      <w:r>
        <w:rPr>
          <w:color w:val="000000" w:themeColor="text1"/>
        </w:rPr>
        <w:t xml:space="preserve"> kui ka lõike </w:t>
      </w:r>
      <w:r w:rsidR="002C2889">
        <w:rPr>
          <w:color w:val="000000" w:themeColor="text1"/>
        </w:rPr>
        <w:t>5</w:t>
      </w:r>
      <w:r>
        <w:rPr>
          <w:color w:val="000000" w:themeColor="text1"/>
        </w:rPr>
        <w:t xml:space="preserve"> kohaselt jooksva eelarveaasta tegevuste operatiivsel muutmisel tuleb </w:t>
      </w:r>
      <w:r w:rsidR="0084302A" w:rsidRPr="001B2E0A">
        <w:t>mesinikele ja nende organisatsioonidele suunatud nõustamisteenu</w:t>
      </w:r>
      <w:r w:rsidR="0084302A">
        <w:t>ste, tehnilis</w:t>
      </w:r>
      <w:r w:rsidR="0084302A" w:rsidRPr="00D750F6">
        <w:t>e abi,</w:t>
      </w:r>
      <w:r w:rsidR="0084302A" w:rsidRPr="001B2E0A">
        <w:t xml:space="preserve"> koolitus</w:t>
      </w:r>
      <w:r w:rsidR="0084302A">
        <w:t>e, teab</w:t>
      </w:r>
      <w:r w:rsidR="0084302A" w:rsidRPr="001B2E0A">
        <w:t xml:space="preserve">e </w:t>
      </w:r>
      <w:r w:rsidR="0084302A">
        <w:t>ja parimate praktikate vahetamis</w:t>
      </w:r>
      <w:r w:rsidR="0084302A" w:rsidRPr="001B2E0A">
        <w:t>e</w:t>
      </w:r>
      <w:r w:rsidR="0084302A">
        <w:t xml:space="preserve"> sekkumisviisi puhul ar</w:t>
      </w:r>
      <w:r w:rsidR="0098719C">
        <w:t>vestada selle sekkumisviisi kohta</w:t>
      </w:r>
      <w:r w:rsidR="0084302A">
        <w:t xml:space="preserve"> § </w:t>
      </w:r>
      <w:r w:rsidR="00624287">
        <w:t>7</w:t>
      </w:r>
      <w:r w:rsidR="0084302A">
        <w:t xml:space="preserve"> lõigetes 2 ja 3 sätestatu</w:t>
      </w:r>
      <w:r w:rsidR="0098719C">
        <w:t xml:space="preserve">d nõudeid. See tähendab, et nimetatud sekkumisviisi puhul ei tohi </w:t>
      </w:r>
      <w:r w:rsidR="0098719C" w:rsidRPr="00953029">
        <w:rPr>
          <w:color w:val="000000" w:themeColor="text1"/>
        </w:rPr>
        <w:t>tegevuskava rakendamisega seotud abikõlblike haldus- ja personalikulude hüvitamiseks antava tehnilise abi</w:t>
      </w:r>
      <w:r w:rsidR="0098719C">
        <w:t xml:space="preserve"> </w:t>
      </w:r>
      <w:r w:rsidR="0042401A">
        <w:t xml:space="preserve">suurus </w:t>
      </w:r>
      <w:r w:rsidR="0098719C">
        <w:t xml:space="preserve">ka peale muutmist </w:t>
      </w:r>
      <w:r w:rsidR="0042401A">
        <w:t>ületada 40 000 eurot eelarveaasta kohta ning toetusesaaja halduskulud ei tohi ületada 4% mesindussektori</w:t>
      </w:r>
      <w:r w:rsidR="00B24457">
        <w:t>sse</w:t>
      </w:r>
      <w:r w:rsidR="0042401A">
        <w:t xml:space="preserve"> sekkumise rahastamiskõlblikest kogukuludest.</w:t>
      </w:r>
      <w:r w:rsidR="0084302A">
        <w:t xml:space="preserve"> </w:t>
      </w:r>
    </w:p>
    <w:p w14:paraId="389207DB" w14:textId="77777777" w:rsidR="000514C1" w:rsidRDefault="000514C1" w:rsidP="008C55DD">
      <w:pPr>
        <w:jc w:val="both"/>
        <w:rPr>
          <w:b/>
        </w:rPr>
      </w:pPr>
    </w:p>
    <w:p w14:paraId="7C0088D9" w14:textId="63CEC00D" w:rsidR="000F3F62" w:rsidRDefault="000F3F62" w:rsidP="008C55DD">
      <w:pPr>
        <w:jc w:val="both"/>
      </w:pPr>
      <w:r w:rsidRPr="000F3F62">
        <w:rPr>
          <w:b/>
        </w:rPr>
        <w:t>Eelnõu §-ga 1</w:t>
      </w:r>
      <w:r w:rsidR="00624287">
        <w:rPr>
          <w:b/>
        </w:rPr>
        <w:t>3</w:t>
      </w:r>
      <w:r>
        <w:t xml:space="preserve"> sätestatakse</w:t>
      </w:r>
      <w:r w:rsidR="008C55DD">
        <w:t xml:space="preserve"> nõuded tegevuskava täitmist käsitlevale tegevusaruandele.</w:t>
      </w:r>
    </w:p>
    <w:p w14:paraId="3B8ED941" w14:textId="77777777" w:rsidR="000F3F62" w:rsidRDefault="000F3F62" w:rsidP="008C55DD">
      <w:pPr>
        <w:jc w:val="both"/>
      </w:pPr>
    </w:p>
    <w:p w14:paraId="0019E134" w14:textId="489B292E" w:rsidR="008C55DD" w:rsidRDefault="008C55DD" w:rsidP="00ED019B">
      <w:pPr>
        <w:jc w:val="both"/>
      </w:pPr>
      <w:r>
        <w:t xml:space="preserve">Lõikega 1 sätestatakse ajaperiood, mille kohta mesinduskogu tegevuskava täitmist käsitleva tegevusaruande koostab ja PRIA-le esitab, ning tegevusaruande PRIA-le esitamise tähtaeg. </w:t>
      </w:r>
      <w:r w:rsidR="004D49FC">
        <w:t xml:space="preserve">Tegevusaruanne koostatakse </w:t>
      </w:r>
      <w:r w:rsidR="00E113E2">
        <w:t xml:space="preserve">peale tegevuskavaga hõlmatud eelarveaasta lõppu (15. oktoober) lõppenud eelarveaasta kohta ning esitatakse PRIA-le elektrooniliselt PRIA e-teenuse keskkonna kaudu hiljemalt 1. detsembriks. </w:t>
      </w:r>
      <w:r w:rsidR="001F15CD" w:rsidRPr="001F15CD">
        <w:t>Tegevusaruanne on mesinduskogu poolt koostatav raport</w:t>
      </w:r>
      <w:r w:rsidR="009367C4">
        <w:t xml:space="preserve"> tegevuskava rakendamise kohta</w:t>
      </w:r>
      <w:r w:rsidR="001F15CD">
        <w:t>.</w:t>
      </w:r>
      <w:r w:rsidR="001F15CD" w:rsidRPr="001F15CD">
        <w:t xml:space="preserve"> </w:t>
      </w:r>
      <w:r w:rsidR="009367C4">
        <w:t>Tegevusaruandes</w:t>
      </w:r>
      <w:r w:rsidR="00F65054">
        <w:t xml:space="preserve"> antakse kokkuvõtlik ülevaade lõppenud eelarveaastal tegevuskava täitmisest kõikide tegevuskavas ettenähtud sekkumisviiside ja tegevuste kaupa</w:t>
      </w:r>
      <w:r w:rsidR="00ED019B">
        <w:t>, kajastades eelkõige mesindussektori</w:t>
      </w:r>
      <w:r w:rsidR="00B24457">
        <w:t>sse</w:t>
      </w:r>
      <w:r w:rsidR="00ED019B">
        <w:t xml:space="preserve"> sekkumise rakendamise sisulist poolt: </w:t>
      </w:r>
      <w:r w:rsidR="00ED019B">
        <w:lastRenderedPageBreak/>
        <w:t>mida ja kui palju tehti või ei tehtud, millistele tulemustele jõuti ning kuidas aitas tehtu kaasa mesindussektori</w:t>
      </w:r>
      <w:r w:rsidR="00B24457">
        <w:t>sse</w:t>
      </w:r>
      <w:r w:rsidR="00ED019B">
        <w:t xml:space="preserve"> sekkumise eesmärgi saavutamisele</w:t>
      </w:r>
      <w:r w:rsidR="00F65054">
        <w:t xml:space="preserve">. </w:t>
      </w:r>
      <w:r w:rsidR="009367C4" w:rsidRPr="004B100C">
        <w:t xml:space="preserve">Tegemist on olulise dokumendiga, mida esitatakse vaid korra aastas ja mis peaks näitama, et </w:t>
      </w:r>
      <w:r w:rsidR="009367C4">
        <w:t>EL ja Eesti</w:t>
      </w:r>
      <w:r w:rsidR="009367C4" w:rsidRPr="004B100C">
        <w:t xml:space="preserve"> maksumaksja raha on ka</w:t>
      </w:r>
      <w:r w:rsidR="009367C4">
        <w:t>sutatud tegevuskavas ettenähtud</w:t>
      </w:r>
      <w:r w:rsidR="009367C4" w:rsidRPr="004B100C">
        <w:t xml:space="preserve"> tegevustele, mis reaalselt on panustanud mesinduse sekkumise eesmärgi saavutamisesse.</w:t>
      </w:r>
    </w:p>
    <w:p w14:paraId="0ADA74E3" w14:textId="77777777" w:rsidR="008C55DD" w:rsidRDefault="008C55DD" w:rsidP="008C55DD">
      <w:pPr>
        <w:jc w:val="both"/>
      </w:pPr>
    </w:p>
    <w:p w14:paraId="41F58FD0" w14:textId="5CA1C2BE" w:rsidR="008C55DD" w:rsidRDefault="008C55DD" w:rsidP="008C55DD">
      <w:pPr>
        <w:jc w:val="both"/>
      </w:pPr>
      <w:r>
        <w:t>Lõikega 2 täpsustatakse</w:t>
      </w:r>
      <w:r w:rsidR="00E113E2">
        <w:t xml:space="preserve">, milliseid andmeid peab PRIA-le esitatav tegevusaruanne sisaldama. </w:t>
      </w:r>
      <w:r w:rsidR="00EE2923">
        <w:t xml:space="preserve">Üldiste andmete (mesinduskogu ja selle esindaja nimi ja kontaktandmed, eelarveaasta) järel esitatakse tegevuskavas sekkumisviiside kaupa </w:t>
      </w:r>
      <w:r w:rsidR="00B67F55">
        <w:t xml:space="preserve">andmed </w:t>
      </w:r>
      <w:r w:rsidR="00D63430">
        <w:t xml:space="preserve">ellu viidud </w:t>
      </w:r>
      <w:r w:rsidR="00EE2923">
        <w:t xml:space="preserve">tegevuste </w:t>
      </w:r>
      <w:r w:rsidR="00B67F55">
        <w:t>kohta (</w:t>
      </w:r>
      <w:r w:rsidR="00B67F55" w:rsidRPr="005475A1">
        <w:rPr>
          <w:color w:val="000000" w:themeColor="text1"/>
        </w:rPr>
        <w:t>tegevuse teostaja, t</w:t>
      </w:r>
      <w:r w:rsidR="00B67F55">
        <w:rPr>
          <w:color w:val="000000" w:themeColor="text1"/>
        </w:rPr>
        <w:t>egevuse eelarve ja tehtud kulud</w:t>
      </w:r>
      <w:r w:rsidR="00B67F55" w:rsidRPr="005475A1">
        <w:rPr>
          <w:color w:val="000000" w:themeColor="text1"/>
        </w:rPr>
        <w:t>, tegevuses osalejate arv</w:t>
      </w:r>
      <w:r w:rsidR="00B67F55">
        <w:rPr>
          <w:color w:val="000000" w:themeColor="text1"/>
        </w:rPr>
        <w:t xml:space="preserve">, </w:t>
      </w:r>
      <w:r w:rsidR="00B67F55" w:rsidRPr="005475A1">
        <w:rPr>
          <w:color w:val="000000" w:themeColor="text1"/>
        </w:rPr>
        <w:t>tegevusest otsese</w:t>
      </w:r>
      <w:r w:rsidR="00B67F55">
        <w:rPr>
          <w:color w:val="000000" w:themeColor="text1"/>
        </w:rPr>
        <w:t>lt ja kaudselt kasusaajate arv</w:t>
      </w:r>
      <w:r w:rsidR="00B67F55" w:rsidRPr="005475A1">
        <w:rPr>
          <w:color w:val="000000" w:themeColor="text1"/>
        </w:rPr>
        <w:t>, tegevuse sisu j</w:t>
      </w:r>
      <w:r w:rsidR="00376A75">
        <w:rPr>
          <w:color w:val="000000" w:themeColor="text1"/>
        </w:rPr>
        <w:t>a tulemuse lühikokkuvõtte, seos</w:t>
      </w:r>
      <w:r w:rsidR="00B67F55" w:rsidRPr="005475A1">
        <w:rPr>
          <w:color w:val="000000" w:themeColor="text1"/>
        </w:rPr>
        <w:t xml:space="preserve"> ja mõju mesindussektori</w:t>
      </w:r>
      <w:r w:rsidR="00B24457">
        <w:rPr>
          <w:color w:val="000000" w:themeColor="text1"/>
        </w:rPr>
        <w:t>sse</w:t>
      </w:r>
      <w:r w:rsidR="00B67F55" w:rsidRPr="005475A1">
        <w:rPr>
          <w:color w:val="000000" w:themeColor="text1"/>
        </w:rPr>
        <w:t xml:space="preserve"> sekku</w:t>
      </w:r>
      <w:r w:rsidR="00B67F55">
        <w:rPr>
          <w:color w:val="000000" w:themeColor="text1"/>
        </w:rPr>
        <w:t>mise eesmärgi saavutamisse)</w:t>
      </w:r>
      <w:r w:rsidR="00F43329">
        <w:t>. Osaliselt või täielikult ellu viimata teg</w:t>
      </w:r>
      <w:r w:rsidR="00B67F55">
        <w:t>evuste puhul tuleb esitada ellu viimata jäämise</w:t>
      </w:r>
      <w:r w:rsidR="00F43329">
        <w:t xml:space="preserve"> põhjused ning t</w:t>
      </w:r>
      <w:r w:rsidR="00376A75">
        <w:t>uua välja edasised plaanid selliste</w:t>
      </w:r>
      <w:r w:rsidR="00F43329">
        <w:t xml:space="preserve"> tegevus</w:t>
      </w:r>
      <w:r w:rsidR="00376A75">
        <w:t>t</w:t>
      </w:r>
      <w:r w:rsidR="00F43329">
        <w:t xml:space="preserve">ega. </w:t>
      </w:r>
      <w:r w:rsidR="002B16D2">
        <w:t>Tegevusaruandes tuleb kajastada ka</w:t>
      </w:r>
      <w:r w:rsidR="002B16D2" w:rsidRPr="002B16D2">
        <w:t xml:space="preserve"> </w:t>
      </w:r>
      <w:r w:rsidR="002B16D2">
        <w:t xml:space="preserve">olulised asjaolud, mis mesinduskogu hinnangul mõjutavad tegevuskava rakendamist järgmisel eelarveaastal. </w:t>
      </w:r>
      <w:r w:rsidR="00376A75">
        <w:t xml:space="preserve">  </w:t>
      </w:r>
      <w:r w:rsidR="00AE0FDF">
        <w:t xml:space="preserve"> </w:t>
      </w:r>
    </w:p>
    <w:p w14:paraId="45EDF379" w14:textId="77777777" w:rsidR="008C55DD" w:rsidRDefault="008C55DD" w:rsidP="008C55DD"/>
    <w:p w14:paraId="4DF211F0" w14:textId="31ADE74D" w:rsidR="00FE59C5" w:rsidRDefault="000F3F62" w:rsidP="00203811">
      <w:pPr>
        <w:jc w:val="both"/>
      </w:pPr>
      <w:r w:rsidRPr="000F3F62">
        <w:rPr>
          <w:b/>
        </w:rPr>
        <w:t>Eelnõu §-ga 1</w:t>
      </w:r>
      <w:r w:rsidR="00624287">
        <w:rPr>
          <w:b/>
        </w:rPr>
        <w:t>4</w:t>
      </w:r>
      <w:r>
        <w:t xml:space="preserve"> sätestatakse</w:t>
      </w:r>
      <w:r w:rsidR="0072466D">
        <w:t xml:space="preserve"> tegevusaruande nõuetele vastavuse kontrollimine.</w:t>
      </w:r>
      <w:r w:rsidR="0074423A">
        <w:t xml:space="preserve"> PRIA </w:t>
      </w:r>
      <w:r w:rsidR="00FE59C5">
        <w:t xml:space="preserve">kontrollib vastuvõetud tegevusaruande vastavust </w:t>
      </w:r>
      <w:r w:rsidR="00FE59C5" w:rsidRPr="00B04228">
        <w:t>EL õigusaktides,</w:t>
      </w:r>
      <w:r w:rsidR="00A529AD">
        <w:t xml:space="preserve"> ELÜPS-is</w:t>
      </w:r>
      <w:r w:rsidR="00FE59C5" w:rsidRPr="00B04228">
        <w:t xml:space="preserve"> ja määruse </w:t>
      </w:r>
      <w:r w:rsidR="00FE59C5" w:rsidRPr="000F0027">
        <w:t>§-s 1</w:t>
      </w:r>
      <w:r w:rsidR="00FE59C5">
        <w:t>3</w:t>
      </w:r>
      <w:r w:rsidR="00FE59C5" w:rsidRPr="00B04228">
        <w:t xml:space="preserve"> sätestatud </w:t>
      </w:r>
      <w:r w:rsidR="00FE59C5">
        <w:t>nõuetele ning</w:t>
      </w:r>
      <w:r w:rsidR="00FE59C5" w:rsidRPr="00DB083C">
        <w:t xml:space="preserve"> selles esitatud andmete </w:t>
      </w:r>
      <w:r w:rsidR="00FE59C5">
        <w:t>õigsust.</w:t>
      </w:r>
      <w:r w:rsidR="0074423A" w:rsidRPr="0074423A">
        <w:t xml:space="preserve"> </w:t>
      </w:r>
      <w:r w:rsidR="0074423A">
        <w:t>Tegevusaruandes esitatud tegevuste nõuetele vastavuse sisuliseks hindamiseks</w:t>
      </w:r>
      <w:r w:rsidR="0074423A" w:rsidRPr="0074423A">
        <w:t xml:space="preserve"> </w:t>
      </w:r>
      <w:r w:rsidR="0074423A">
        <w:t xml:space="preserve">võib PRIA haldusmenetluse seaduse §-de 6 ja 16 alusel küsida hinnangut </w:t>
      </w:r>
      <w:r w:rsidR="0074423A" w:rsidRPr="00EB2184">
        <w:t>sama</w:t>
      </w:r>
      <w:r w:rsidR="0074423A">
        <w:t xml:space="preserve">lt hindamiskomisjonilt, </w:t>
      </w:r>
      <w:r w:rsidR="0074423A" w:rsidRPr="00EB2184">
        <w:t>mille PRIA on moodu</w:t>
      </w:r>
      <w:r w:rsidR="0074423A">
        <w:t xml:space="preserve">stanud </w:t>
      </w:r>
      <w:r w:rsidR="0074423A" w:rsidRPr="00EB2184">
        <w:t>tegevusk</w:t>
      </w:r>
      <w:r w:rsidR="0074423A">
        <w:t>avade hindamiseks ja nende</w:t>
      </w:r>
      <w:r w:rsidR="0074423A" w:rsidRPr="00EB2184">
        <w:t xml:space="preserve"> paremusjärjestuse koostamiseks</w:t>
      </w:r>
      <w:r w:rsidR="00F223A0">
        <w:t>, samuti muult asjakohaselt eksperdilt</w:t>
      </w:r>
      <w:r w:rsidR="0074423A">
        <w:t>.</w:t>
      </w:r>
      <w:r w:rsidR="004672CD" w:rsidRPr="004672CD">
        <w:t xml:space="preserve"> </w:t>
      </w:r>
      <w:r w:rsidR="004672CD">
        <w:t xml:space="preserve">Eelkõige võib hindamiskomisjonilt </w:t>
      </w:r>
      <w:r w:rsidR="004672CD" w:rsidRPr="00F915DC">
        <w:t xml:space="preserve">hinnangu küsimine puudutada tegevuste </w:t>
      </w:r>
      <w:r w:rsidR="004672CD">
        <w:t>tulemuste lahti mõtestamist ning mesindussektori</w:t>
      </w:r>
      <w:r w:rsidR="00B24457">
        <w:t>sse</w:t>
      </w:r>
      <w:r w:rsidR="004672CD">
        <w:t xml:space="preserve"> sekkumise eesmärgi saavutamisesse antava panuse väljaselgitamist.</w:t>
      </w:r>
    </w:p>
    <w:p w14:paraId="6D803310" w14:textId="5FE56836" w:rsidR="00834BEC" w:rsidRDefault="00834BEC" w:rsidP="00203811">
      <w:pPr>
        <w:jc w:val="both"/>
      </w:pPr>
    </w:p>
    <w:p w14:paraId="7B259948" w14:textId="66D4625D" w:rsidR="000F3F62" w:rsidRDefault="000F3F62" w:rsidP="00203811">
      <w:pPr>
        <w:jc w:val="both"/>
      </w:pPr>
      <w:r w:rsidRPr="000F3F62">
        <w:rPr>
          <w:b/>
        </w:rPr>
        <w:t>Eelnõu §-ga 1</w:t>
      </w:r>
      <w:r w:rsidR="00624287">
        <w:rPr>
          <w:b/>
        </w:rPr>
        <w:t>5</w:t>
      </w:r>
      <w:r>
        <w:t xml:space="preserve"> sätestatakse</w:t>
      </w:r>
      <w:r w:rsidR="00F177FB">
        <w:t xml:space="preserve"> tegevusaruande heakskii</w:t>
      </w:r>
      <w:r w:rsidR="00F223A0">
        <w:t>tmine ja heaks kiitmata jätmine.</w:t>
      </w:r>
    </w:p>
    <w:p w14:paraId="6C7668A6" w14:textId="77777777" w:rsidR="000F3F62" w:rsidRDefault="000F3F62" w:rsidP="00203811">
      <w:pPr>
        <w:jc w:val="both"/>
      </w:pPr>
    </w:p>
    <w:p w14:paraId="07B9E842" w14:textId="6AB46B49" w:rsidR="003819AB" w:rsidRDefault="003819AB" w:rsidP="00203811">
      <w:pPr>
        <w:jc w:val="both"/>
      </w:pPr>
      <w:r w:rsidRPr="003819AB">
        <w:t xml:space="preserve">Lõikega 1 </w:t>
      </w:r>
      <w:r>
        <w:t>sätestatakse üldise nõudena tegevusaruande PRIA poolt heakskiitmine.</w:t>
      </w:r>
      <w:r w:rsidR="00477531" w:rsidRPr="00477531">
        <w:t xml:space="preserve"> </w:t>
      </w:r>
      <w:r w:rsidR="00477531" w:rsidRPr="00F74197">
        <w:t>Kui tegevusaruanne ei vasta nõuetele, jätab PRIA selle heaks kiitmata ja peatab mesinduskogu tegevuskava rakendamise kuni tegevusaruande heakskiitmiseni</w:t>
      </w:r>
      <w:r w:rsidR="00477531">
        <w:t>.</w:t>
      </w:r>
      <w:r w:rsidR="0075178D">
        <w:t xml:space="preserve"> </w:t>
      </w:r>
      <w:r w:rsidR="000525CA">
        <w:t xml:space="preserve">PRIA </w:t>
      </w:r>
      <w:r w:rsidR="0075178D">
        <w:t xml:space="preserve">jätab </w:t>
      </w:r>
      <w:r w:rsidR="000525CA">
        <w:t>tegevusaruande heaks kiitmata, kui tegevusaruande nõuetele vastavuse kontrollimise käigus tehakse kindlaks tegevusaruande nõuetele mittevastavus või tegevusaruandes tuvastatakse teadlikult valeandmete esitamine.</w:t>
      </w:r>
      <w:r w:rsidR="0075178D" w:rsidRPr="0075178D">
        <w:t xml:space="preserve"> </w:t>
      </w:r>
      <w:r w:rsidR="0075178D">
        <w:t>Tegevuskava rakendamise peatamine tähendab tegevuskavas ettenähtud tegevuste rakendamisega seotud kulutuste tegemise peatamist, samuti peatatakse juba tehtud kulutuste kompenseerimiseks toetuse väljamaksmine.</w:t>
      </w:r>
      <w:r w:rsidR="0075178D" w:rsidRPr="0075178D">
        <w:t xml:space="preserve"> </w:t>
      </w:r>
      <w:r w:rsidR="0075178D">
        <w:t>Tegevuskava rakendamine peatatakse tegevusaruande heaks kiitmata jätmise otsuse tegemise kuupäevast alates</w:t>
      </w:r>
      <w:r w:rsidR="0075178D" w:rsidRPr="007535C8">
        <w:t xml:space="preserve"> </w:t>
      </w:r>
      <w:r w:rsidR="0075178D" w:rsidRPr="006535BE">
        <w:t>kuni te</w:t>
      </w:r>
      <w:r w:rsidR="0075178D">
        <w:t>gevusaruande heakskiitmise otsuse tegemise kuupäevani.</w:t>
      </w:r>
      <w:r w:rsidR="0075178D" w:rsidRPr="0075178D">
        <w:t xml:space="preserve"> </w:t>
      </w:r>
      <w:r w:rsidR="0075178D">
        <w:t>Tegevusaruande heaks kiitmata jätmise korral esitab mesinduskogu PRIA-le korrigeeritud tegevusaruande.</w:t>
      </w:r>
      <w:r w:rsidR="0075178D" w:rsidRPr="0075178D">
        <w:t xml:space="preserve"> </w:t>
      </w:r>
      <w:r w:rsidR="0075178D">
        <w:t>Niipea, kui mesinduskogu poolt korrigeeritud tegevusaruanne PRIA poolt heaks kiidetakse, taastub tegevuskava rakendamine ning toetuse väljamaksmine.</w:t>
      </w:r>
    </w:p>
    <w:p w14:paraId="622C4905" w14:textId="07D05756" w:rsidR="003819AB" w:rsidRDefault="003819AB" w:rsidP="00203811">
      <w:pPr>
        <w:jc w:val="both"/>
      </w:pPr>
    </w:p>
    <w:p w14:paraId="32FEA4E2" w14:textId="35DD0D34" w:rsidR="009A494B" w:rsidRDefault="003819AB" w:rsidP="00203811">
      <w:pPr>
        <w:jc w:val="both"/>
      </w:pPr>
      <w:r>
        <w:t xml:space="preserve">Lõikega </w:t>
      </w:r>
      <w:r w:rsidR="0075178D">
        <w:t>2</w:t>
      </w:r>
      <w:r>
        <w:t xml:space="preserve"> sätestatakse PRIA poolt tegevusaruande heakskiitmise või heaks k</w:t>
      </w:r>
      <w:r w:rsidR="009A494B">
        <w:t>iitmata jätmise otsuse tegemine 45 tööpäeva jooksul tegevusaruande esitamise tähtpäevast arvates.</w:t>
      </w:r>
    </w:p>
    <w:p w14:paraId="506A21CF" w14:textId="77777777" w:rsidR="009A494B" w:rsidRDefault="009A494B" w:rsidP="00203811">
      <w:pPr>
        <w:jc w:val="both"/>
      </w:pPr>
    </w:p>
    <w:p w14:paraId="2B537258" w14:textId="60A952D9" w:rsidR="00203D57" w:rsidRDefault="000571EA" w:rsidP="00606039">
      <w:pPr>
        <w:jc w:val="both"/>
        <w:rPr>
          <w:color w:val="000000" w:themeColor="text1"/>
        </w:rPr>
      </w:pPr>
      <w:r w:rsidRPr="000F3F62">
        <w:rPr>
          <w:b/>
        </w:rPr>
        <w:t>Eelnõu §-ga 1</w:t>
      </w:r>
      <w:r w:rsidR="00624287">
        <w:rPr>
          <w:b/>
        </w:rPr>
        <w:t>6</w:t>
      </w:r>
      <w:r>
        <w:t xml:space="preserve"> sätestatakse</w:t>
      </w:r>
      <w:r w:rsidRPr="000571EA">
        <w:t xml:space="preserve"> </w:t>
      </w:r>
      <w:r>
        <w:t>m</w:t>
      </w:r>
      <w:r w:rsidRPr="000571EA">
        <w:t>esinduskogu muud kohustused tegevuskava rakendamisel</w:t>
      </w:r>
      <w:r>
        <w:t>.</w:t>
      </w:r>
    </w:p>
    <w:p w14:paraId="7B3045B3" w14:textId="5D95ED51" w:rsidR="00203D57" w:rsidRDefault="00203D57" w:rsidP="00606039">
      <w:pPr>
        <w:jc w:val="both"/>
        <w:rPr>
          <w:color w:val="000000" w:themeColor="text1"/>
        </w:rPr>
      </w:pPr>
    </w:p>
    <w:p w14:paraId="0C9BF846" w14:textId="00136318" w:rsidR="0094130F" w:rsidRDefault="00197D00" w:rsidP="00606039">
      <w:pPr>
        <w:jc w:val="both"/>
        <w:rPr>
          <w:color w:val="000000" w:themeColor="text1"/>
        </w:rPr>
      </w:pPr>
      <w:r>
        <w:rPr>
          <w:color w:val="000000" w:themeColor="text1"/>
        </w:rPr>
        <w:t xml:space="preserve">Lõikes 1 esitatakse loetelu </w:t>
      </w:r>
      <w:r w:rsidR="00606039">
        <w:rPr>
          <w:color w:val="000000" w:themeColor="text1"/>
        </w:rPr>
        <w:t xml:space="preserve">muudest kohustustest, mida </w:t>
      </w:r>
      <w:r w:rsidR="0094130F">
        <w:rPr>
          <w:color w:val="000000" w:themeColor="text1"/>
        </w:rPr>
        <w:t>mesinduskogu</w:t>
      </w:r>
      <w:r w:rsidR="00606039">
        <w:rPr>
          <w:color w:val="000000" w:themeColor="text1"/>
        </w:rPr>
        <w:t xml:space="preserve"> lisaks määruse §-s 3 sätestatud nõuetele peab täitma</w:t>
      </w:r>
      <w:r w:rsidR="0094130F">
        <w:rPr>
          <w:color w:val="000000" w:themeColor="text1"/>
        </w:rPr>
        <w:t>. Mesinduskogu peab</w:t>
      </w:r>
      <w:r w:rsidR="00606039">
        <w:rPr>
          <w:color w:val="000000" w:themeColor="text1"/>
        </w:rPr>
        <w:t>:</w:t>
      </w:r>
    </w:p>
    <w:p w14:paraId="7B387A23" w14:textId="255D6FEF" w:rsidR="0094130F" w:rsidRDefault="0094130F" w:rsidP="00606039">
      <w:pPr>
        <w:jc w:val="both"/>
        <w:rPr>
          <w:color w:val="000000" w:themeColor="text1"/>
        </w:rPr>
      </w:pPr>
      <w:r w:rsidRPr="00836894">
        <w:rPr>
          <w:color w:val="000000" w:themeColor="text1"/>
        </w:rPr>
        <w:t xml:space="preserve">1) </w:t>
      </w:r>
      <w:r>
        <w:rPr>
          <w:color w:val="000000" w:themeColor="text1"/>
        </w:rPr>
        <w:t xml:space="preserve">tagama </w:t>
      </w:r>
      <w:r>
        <w:rPr>
          <w:noProof/>
        </w:rPr>
        <w:t xml:space="preserve">mesilashaigustega ja kahjuritega võitlemise eesmärgil </w:t>
      </w:r>
      <w:r w:rsidRPr="005529E0">
        <w:rPr>
          <w:color w:val="000000" w:themeColor="text1"/>
        </w:rPr>
        <w:t>materiaalsesse ja immateriaalsesse varasse</w:t>
      </w:r>
      <w:r>
        <w:rPr>
          <w:color w:val="000000" w:themeColor="text1"/>
        </w:rPr>
        <w:t xml:space="preserve"> tehtavate investeeringute puhul </w:t>
      </w:r>
      <w:r w:rsidRPr="005529E0">
        <w:rPr>
          <w:color w:val="000000" w:themeColor="text1"/>
        </w:rPr>
        <w:t>komisjoni delegeeritud määruse (EL) 2022/126</w:t>
      </w:r>
      <w:r>
        <w:rPr>
          <w:color w:val="000000" w:themeColor="text1"/>
        </w:rPr>
        <w:t xml:space="preserve"> artiklis 11 sätestatud tingimuste täitmise; </w:t>
      </w:r>
    </w:p>
    <w:p w14:paraId="40B28AA0" w14:textId="354F9CA7" w:rsidR="0094130F" w:rsidRDefault="0094130F" w:rsidP="00606039">
      <w:pPr>
        <w:jc w:val="both"/>
        <w:rPr>
          <w:color w:val="000000" w:themeColor="text1"/>
        </w:rPr>
      </w:pPr>
      <w:r w:rsidRPr="002C7D60">
        <w:rPr>
          <w:color w:val="000000" w:themeColor="text1"/>
        </w:rPr>
        <w:t>2</w:t>
      </w:r>
      <w:r w:rsidRPr="00484336">
        <w:rPr>
          <w:color w:val="000000" w:themeColor="text1"/>
        </w:rPr>
        <w:t>) kasuta</w:t>
      </w:r>
      <w:r w:rsidRPr="006322FA">
        <w:rPr>
          <w:color w:val="000000" w:themeColor="text1"/>
        </w:rPr>
        <w:t xml:space="preserve">ma toetust sihtotstarbeliselt ja mõistlikult ning kõige säästlikumal viisil, järgides toetatava tegevuse elluviimisel </w:t>
      </w:r>
      <w:r w:rsidR="00606039">
        <w:rPr>
          <w:color w:val="000000" w:themeColor="text1"/>
        </w:rPr>
        <w:t>ELÜPS-</w:t>
      </w:r>
      <w:r w:rsidRPr="002C7D60">
        <w:rPr>
          <w:color w:val="000000" w:themeColor="text1"/>
        </w:rPr>
        <w:t xml:space="preserve">s, </w:t>
      </w:r>
      <w:r w:rsidRPr="00484336">
        <w:rPr>
          <w:color w:val="000000" w:themeColor="text1"/>
        </w:rPr>
        <w:t>määrus</w:t>
      </w:r>
      <w:r w:rsidR="00606039">
        <w:rPr>
          <w:color w:val="000000" w:themeColor="text1"/>
        </w:rPr>
        <w:t>es ja asjakohastes EL</w:t>
      </w:r>
      <w:r w:rsidRPr="00484336">
        <w:rPr>
          <w:color w:val="000000" w:themeColor="text1"/>
        </w:rPr>
        <w:t xml:space="preserve"> õigusaktides sätestatud nõudeid;</w:t>
      </w:r>
    </w:p>
    <w:p w14:paraId="4A398038" w14:textId="1AF8BE1C" w:rsidR="002C2889" w:rsidRPr="00836894" w:rsidRDefault="002C2889" w:rsidP="00606039">
      <w:pPr>
        <w:jc w:val="both"/>
        <w:rPr>
          <w:color w:val="000000" w:themeColor="text1"/>
        </w:rPr>
      </w:pPr>
      <w:r>
        <w:rPr>
          <w:color w:val="000000" w:themeColor="text1"/>
        </w:rPr>
        <w:lastRenderedPageBreak/>
        <w:t>3) t</w:t>
      </w:r>
      <w:r w:rsidRPr="00E73199">
        <w:rPr>
          <w:color w:val="000000" w:themeColor="text1"/>
        </w:rPr>
        <w:t xml:space="preserve">oetatava tegevuse raames kavandatava töö, teenuse või toote mõistliku maksumuse </w:t>
      </w:r>
      <w:r>
        <w:rPr>
          <w:color w:val="000000" w:themeColor="text1"/>
        </w:rPr>
        <w:t xml:space="preserve">väljaselgitamiseks korraldama ostumenetluse </w:t>
      </w:r>
      <w:r w:rsidRPr="00274DBA">
        <w:rPr>
          <w:color w:val="000000" w:themeColor="text1"/>
        </w:rPr>
        <w:t>§-s 17 sätestatud tingimus</w:t>
      </w:r>
      <w:r>
        <w:rPr>
          <w:color w:val="000000" w:themeColor="text1"/>
        </w:rPr>
        <w:t>t</w:t>
      </w:r>
      <w:r w:rsidRPr="00274DBA">
        <w:rPr>
          <w:color w:val="000000" w:themeColor="text1"/>
        </w:rPr>
        <w:t>el;</w:t>
      </w:r>
    </w:p>
    <w:p w14:paraId="1C7CE3FC" w14:textId="267B7B49" w:rsidR="0094130F" w:rsidRPr="00836894" w:rsidRDefault="002C2889" w:rsidP="00606039">
      <w:pPr>
        <w:jc w:val="both"/>
        <w:rPr>
          <w:color w:val="000000" w:themeColor="text1"/>
        </w:rPr>
      </w:pPr>
      <w:r>
        <w:rPr>
          <w:color w:val="000000" w:themeColor="text1"/>
        </w:rPr>
        <w:t>4</w:t>
      </w:r>
      <w:r w:rsidR="0094130F" w:rsidRPr="00836894">
        <w:rPr>
          <w:color w:val="000000" w:themeColor="text1"/>
        </w:rPr>
        <w:t>) tagama toetuse väljamaksmise aluseks olevate dokumentide nõuetekohasuse ja kulude abikõlblikkuse;</w:t>
      </w:r>
    </w:p>
    <w:p w14:paraId="7E42F570" w14:textId="70D1B7AD" w:rsidR="0094130F" w:rsidRPr="00836894" w:rsidRDefault="002C2889" w:rsidP="00606039">
      <w:pPr>
        <w:jc w:val="both"/>
        <w:rPr>
          <w:color w:val="000000" w:themeColor="text1"/>
        </w:rPr>
      </w:pPr>
      <w:r>
        <w:rPr>
          <w:color w:val="000000" w:themeColor="text1"/>
        </w:rPr>
        <w:t>5</w:t>
      </w:r>
      <w:r w:rsidR="0094130F" w:rsidRPr="00836894">
        <w:rPr>
          <w:color w:val="000000" w:themeColor="text1"/>
        </w:rPr>
        <w:t>) eristama selgelt oma raamatupidamises toetuse kasutamisega seotud kulud ning neid kajastavad kulu- ja maksedokumendid muudest kulu- ja maksedokumentidest</w:t>
      </w:r>
      <w:r w:rsidR="007F37D1">
        <w:rPr>
          <w:color w:val="000000" w:themeColor="text1"/>
        </w:rPr>
        <w:t xml:space="preserve">, </w:t>
      </w:r>
      <w:r w:rsidR="00BA2593">
        <w:rPr>
          <w:color w:val="000000" w:themeColor="text1"/>
        </w:rPr>
        <w:t>välja arvatud § 7</w:t>
      </w:r>
      <w:r w:rsidR="007F37D1" w:rsidRPr="007F37D1">
        <w:rPr>
          <w:color w:val="000000" w:themeColor="text1"/>
        </w:rPr>
        <w:t xml:space="preserve"> lõigetes 4–6 sätestatud toimingute puhul, mille kulud hüvitatakse Euroopa Parlamendi ja nõukogu määruse (EL) 2021/2115 artikli 44 lõike 1 punk</w:t>
      </w:r>
      <w:r w:rsidR="0023740B">
        <w:rPr>
          <w:color w:val="000000" w:themeColor="text1"/>
        </w:rPr>
        <w:t xml:space="preserve">ti b kohaselt </w:t>
      </w:r>
      <w:r w:rsidR="007F37D1" w:rsidRPr="007F37D1">
        <w:rPr>
          <w:color w:val="000000" w:themeColor="text1"/>
        </w:rPr>
        <w:t>ühikuhinna alusel</w:t>
      </w:r>
      <w:r w:rsidR="0094130F" w:rsidRPr="00836894">
        <w:rPr>
          <w:color w:val="000000" w:themeColor="text1"/>
        </w:rPr>
        <w:t>;</w:t>
      </w:r>
    </w:p>
    <w:p w14:paraId="69CEC10C" w14:textId="2F06F6CC" w:rsidR="0094130F" w:rsidRPr="00836894" w:rsidRDefault="002C2889" w:rsidP="00606039">
      <w:pPr>
        <w:jc w:val="both"/>
        <w:rPr>
          <w:color w:val="000000" w:themeColor="text1"/>
        </w:rPr>
      </w:pPr>
      <w:r>
        <w:rPr>
          <w:color w:val="000000" w:themeColor="text1"/>
        </w:rPr>
        <w:t>6</w:t>
      </w:r>
      <w:r w:rsidR="0094130F" w:rsidRPr="00836894">
        <w:rPr>
          <w:color w:val="000000" w:themeColor="text1"/>
        </w:rPr>
        <w:t>) võimaldama teostada auditit, järelevalvet ja muid toetuse saamisega seotud kontrolle ning osutama selleks igakülgset abi, sealhulgas võimaldama viibida toetuse saaja kinnisasjal, ehitises ja ruumis ning läbi vaadata dokumente ja vara kohapeal;</w:t>
      </w:r>
    </w:p>
    <w:p w14:paraId="3BD0D0D6" w14:textId="2AB9E0D8" w:rsidR="0094130F" w:rsidRPr="00836894" w:rsidRDefault="002C2889" w:rsidP="00606039">
      <w:pPr>
        <w:jc w:val="both"/>
        <w:rPr>
          <w:color w:val="000000" w:themeColor="text1"/>
        </w:rPr>
      </w:pPr>
      <w:r>
        <w:rPr>
          <w:color w:val="000000" w:themeColor="text1"/>
        </w:rPr>
        <w:t>7</w:t>
      </w:r>
      <w:r w:rsidR="0094130F" w:rsidRPr="00836894">
        <w:rPr>
          <w:color w:val="000000" w:themeColor="text1"/>
        </w:rPr>
        <w:t>) esitama auditi, järelevalve või muu kontrolli tegemiseks vajalikud andmed ja doku</w:t>
      </w:r>
      <w:r w:rsidR="0094130F">
        <w:rPr>
          <w:color w:val="000000" w:themeColor="text1"/>
        </w:rPr>
        <w:t>mendid määratud tähtaja jooksul</w:t>
      </w:r>
      <w:r w:rsidR="0094130F" w:rsidRPr="00836894">
        <w:rPr>
          <w:color w:val="000000" w:themeColor="text1"/>
        </w:rPr>
        <w:t>;</w:t>
      </w:r>
    </w:p>
    <w:p w14:paraId="54E875A9" w14:textId="632EFB13" w:rsidR="0094130F" w:rsidRPr="009E797A" w:rsidRDefault="002C2889" w:rsidP="00606039">
      <w:pPr>
        <w:jc w:val="both"/>
        <w:rPr>
          <w:color w:val="000000" w:themeColor="text1"/>
        </w:rPr>
      </w:pPr>
      <w:r>
        <w:rPr>
          <w:color w:val="000000" w:themeColor="text1"/>
        </w:rPr>
        <w:t>8</w:t>
      </w:r>
      <w:r w:rsidR="0094130F" w:rsidRPr="009E797A">
        <w:rPr>
          <w:color w:val="000000" w:themeColor="text1"/>
        </w:rPr>
        <w:t>) säilita</w:t>
      </w:r>
      <w:r w:rsidR="0094130F">
        <w:rPr>
          <w:color w:val="000000" w:themeColor="text1"/>
        </w:rPr>
        <w:t>ma</w:t>
      </w:r>
      <w:r w:rsidR="0094130F" w:rsidRPr="009E797A">
        <w:rPr>
          <w:color w:val="000000" w:themeColor="text1"/>
        </w:rPr>
        <w:t xml:space="preserve"> toetusega seotud dokumente;</w:t>
      </w:r>
    </w:p>
    <w:p w14:paraId="74F6BF04" w14:textId="5DE0E144" w:rsidR="0094130F" w:rsidRPr="00836894" w:rsidRDefault="002C2889" w:rsidP="00606039">
      <w:pPr>
        <w:jc w:val="both"/>
        <w:rPr>
          <w:color w:val="000000" w:themeColor="text1"/>
        </w:rPr>
      </w:pPr>
      <w:r>
        <w:rPr>
          <w:color w:val="000000" w:themeColor="text1"/>
        </w:rPr>
        <w:t>9</w:t>
      </w:r>
      <w:r w:rsidR="0094130F" w:rsidRPr="00836894">
        <w:rPr>
          <w:color w:val="000000" w:themeColor="text1"/>
        </w:rPr>
        <w:t xml:space="preserve">) näitama, et tegemist on </w:t>
      </w:r>
      <w:r w:rsidR="0094130F">
        <w:rPr>
          <w:color w:val="000000" w:themeColor="text1"/>
        </w:rPr>
        <w:t>Euroopa Põllumajanduse Tagatis</w:t>
      </w:r>
      <w:r w:rsidR="0094130F" w:rsidRPr="00836894">
        <w:rPr>
          <w:color w:val="000000" w:themeColor="text1"/>
        </w:rPr>
        <w:t>fondi toetuse abil elluviidava tegevusega, kasutades selleks ettenähtud sümboleid ja teavitustegevusi;</w:t>
      </w:r>
    </w:p>
    <w:p w14:paraId="390AE880" w14:textId="08A7639B" w:rsidR="0094130F" w:rsidRPr="009E797A" w:rsidRDefault="002C2889" w:rsidP="00606039">
      <w:pPr>
        <w:jc w:val="both"/>
        <w:rPr>
          <w:color w:val="000000" w:themeColor="text1"/>
        </w:rPr>
      </w:pPr>
      <w:r>
        <w:rPr>
          <w:color w:val="000000" w:themeColor="text1"/>
        </w:rPr>
        <w:t>10</w:t>
      </w:r>
      <w:r w:rsidR="0094130F" w:rsidRPr="009E797A">
        <w:rPr>
          <w:color w:val="000000" w:themeColor="text1"/>
        </w:rPr>
        <w:t>) esita</w:t>
      </w:r>
      <w:r w:rsidR="0094130F">
        <w:rPr>
          <w:color w:val="000000" w:themeColor="text1"/>
        </w:rPr>
        <w:t>ma</w:t>
      </w:r>
      <w:r w:rsidR="0094130F" w:rsidRPr="009E797A">
        <w:rPr>
          <w:color w:val="000000" w:themeColor="text1"/>
        </w:rPr>
        <w:t xml:space="preserve"> toetuse kasutamisega seotud seireks vajalikku teavet;</w:t>
      </w:r>
    </w:p>
    <w:p w14:paraId="5BBE2327" w14:textId="5BB37D8D" w:rsidR="00197D00" w:rsidRDefault="002C2889" w:rsidP="00606039">
      <w:pPr>
        <w:jc w:val="both"/>
        <w:rPr>
          <w:color w:val="000000" w:themeColor="text1"/>
        </w:rPr>
      </w:pPr>
      <w:r>
        <w:rPr>
          <w:color w:val="000000" w:themeColor="text1"/>
        </w:rPr>
        <w:t>11</w:t>
      </w:r>
      <w:r w:rsidR="0094130F" w:rsidRPr="00836894">
        <w:rPr>
          <w:color w:val="000000" w:themeColor="text1"/>
        </w:rPr>
        <w:t>)</w:t>
      </w:r>
      <w:r w:rsidR="0094130F">
        <w:rPr>
          <w:color w:val="000000" w:themeColor="text1"/>
        </w:rPr>
        <w:t xml:space="preserve"> t</w:t>
      </w:r>
      <w:r w:rsidR="0094130F" w:rsidRPr="00836894">
        <w:rPr>
          <w:color w:val="000000" w:themeColor="text1"/>
        </w:rPr>
        <w:t>eavita</w:t>
      </w:r>
      <w:r w:rsidR="0094130F">
        <w:rPr>
          <w:color w:val="000000" w:themeColor="text1"/>
        </w:rPr>
        <w:t xml:space="preserve">ma PRIA-t </w:t>
      </w:r>
      <w:r w:rsidR="0094130F" w:rsidRPr="00836894">
        <w:rPr>
          <w:color w:val="000000" w:themeColor="text1"/>
        </w:rPr>
        <w:t>taotluse</w:t>
      </w:r>
      <w:r w:rsidR="0094130F">
        <w:rPr>
          <w:color w:val="000000" w:themeColor="text1"/>
        </w:rPr>
        <w:t>s</w:t>
      </w:r>
      <w:r w:rsidR="0094130F" w:rsidRPr="00836894">
        <w:rPr>
          <w:color w:val="000000" w:themeColor="text1"/>
        </w:rPr>
        <w:t xml:space="preserve"> esitatud või tegevusega seotud andmete muutumisest või tegevuse elluviimist takistavast asjaolust, sealhulgas pankrotimenetlusest, likvideerimismenetlusest, tegevuse odavnemisest või kallinemisest ning tegevusega seotud vara üleandmisest teisele isikule või asutusele.</w:t>
      </w:r>
    </w:p>
    <w:p w14:paraId="292CD901" w14:textId="77777777" w:rsidR="00BA437F" w:rsidRDefault="00BA437F" w:rsidP="00606039">
      <w:pPr>
        <w:jc w:val="both"/>
        <w:rPr>
          <w:color w:val="000000" w:themeColor="text1"/>
        </w:rPr>
      </w:pPr>
    </w:p>
    <w:p w14:paraId="0F616665" w14:textId="08666F40" w:rsidR="00862F2F" w:rsidRPr="00830600" w:rsidRDefault="00BA437F" w:rsidP="00862F2F">
      <w:pPr>
        <w:jc w:val="both"/>
      </w:pPr>
      <w:r>
        <w:rPr>
          <w:color w:val="000000" w:themeColor="text1"/>
        </w:rPr>
        <w:t>Valdavalt on tegemist üldiste</w:t>
      </w:r>
      <w:r w:rsidR="002C6BF5">
        <w:rPr>
          <w:color w:val="000000" w:themeColor="text1"/>
        </w:rPr>
        <w:t xml:space="preserve">, paljude ÜPP toetusmeetmete rakendamisel toetuse taotlejale kehtestatud analoogsete kohustustega. </w:t>
      </w:r>
      <w:r w:rsidR="00830600">
        <w:rPr>
          <w:color w:val="000000" w:themeColor="text1"/>
        </w:rPr>
        <w:t xml:space="preserve">Spetsiifilisema kohustusena punktis 1 nimetatud kohustuse sätestamine tuleneb </w:t>
      </w:r>
      <w:r w:rsidR="00830600">
        <w:t>k</w:t>
      </w:r>
      <w:r w:rsidR="003E21CE" w:rsidRPr="003E21CE">
        <w:t>omisjoni delegeeritud määruse (EL) 2022/126 artikli 11 lõike 1 punkti</w:t>
      </w:r>
      <w:r w:rsidR="00830600">
        <w:t>st</w:t>
      </w:r>
      <w:r w:rsidR="003E21CE" w:rsidRPr="003E21CE">
        <w:t xml:space="preserve"> a</w:t>
      </w:r>
      <w:r w:rsidR="00830600">
        <w:t>, mille</w:t>
      </w:r>
      <w:r w:rsidR="003E21CE" w:rsidRPr="003E21CE">
        <w:t xml:space="preserve"> kohaselt peavad liikmesriigid, kes lisavad oma ÜPP strateegiakavadesse mesindussektoris materiaalsesse ja immateriaalsesse varasse tehtavad investeeringud, sätestama, et toetusesaaja kasutab omandatud materiaalset ja immateriaalset vara vastavalt selle olemusele, eesmärkidele ja kavandatud kasutusele, nagu ÜPP strateegiakavaga seotud sekkumistes kirjeldatud on. </w:t>
      </w:r>
      <w:r w:rsidR="00862F2F">
        <w:t>Eesti ÜPP strateegiakavas nähakse mesindussektoris materiaalsesse ja immateriaalsesse varasse tehtavad investeeringud ette investeeringutena</w:t>
      </w:r>
      <w:r w:rsidR="00862F2F" w:rsidRPr="00862F2F">
        <w:t xml:space="preserve"> </w:t>
      </w:r>
      <w:r w:rsidR="00862F2F" w:rsidRPr="00FB5A7B">
        <w:t>võitlus</w:t>
      </w:r>
      <w:r w:rsidR="00862F2F">
        <w:t>eks</w:t>
      </w:r>
      <w:r w:rsidR="00862F2F" w:rsidRPr="00FB5A7B">
        <w:t xml:space="preserve"> kahjurite ja mesilaste haigustega, eriti </w:t>
      </w:r>
      <w:r w:rsidR="00862F2F">
        <w:t xml:space="preserve">varroatoosi tõrjeks. Seega kaasneb mesinduskogule kohustus tagada, et </w:t>
      </w:r>
      <w:r w:rsidR="00862F2F" w:rsidRPr="003E21CE">
        <w:t>varroatoosi ja mu</w:t>
      </w:r>
      <w:r w:rsidR="009A68C6">
        <w:t>ude mesilashaiguste seir</w:t>
      </w:r>
      <w:r w:rsidR="00862F2F" w:rsidRPr="003E21CE">
        <w:t>e, ennetamise ja tõrje ning kahjurite tõrje vahendit, mille ostukulu kompenseerimist taotletakse, kasutatakse vaid mesilashaigustega, eriti varroatoosiga, või kahjuritega võitlemise eesmärgil.</w:t>
      </w:r>
    </w:p>
    <w:p w14:paraId="18CDA099" w14:textId="00455705" w:rsidR="00862F2F" w:rsidRPr="00F96B6D" w:rsidRDefault="00862F2F" w:rsidP="00BD220B">
      <w:pPr>
        <w:jc w:val="both"/>
        <w:rPr>
          <w:i/>
        </w:rPr>
      </w:pPr>
      <w:r w:rsidRPr="00F96B6D">
        <w:rPr>
          <w:i/>
        </w:rPr>
        <w:t xml:space="preserve"> </w:t>
      </w:r>
    </w:p>
    <w:p w14:paraId="0C4B1F8E" w14:textId="602504BD" w:rsidR="00820754" w:rsidRDefault="00BD220B" w:rsidP="00690328">
      <w:pPr>
        <w:jc w:val="both"/>
        <w:rPr>
          <w:color w:val="000000" w:themeColor="text1"/>
        </w:rPr>
      </w:pPr>
      <w:r>
        <w:rPr>
          <w:color w:val="000000" w:themeColor="text1"/>
        </w:rPr>
        <w:t xml:space="preserve">Lõikes 2 sätestatakse mesinduskogu poolt </w:t>
      </w:r>
      <w:r w:rsidRPr="00BD220B">
        <w:rPr>
          <w:color w:val="000000" w:themeColor="text1"/>
        </w:rPr>
        <w:t>tegevuskava ja selles ettenähtud tegevuste rakendamise kohta</w:t>
      </w:r>
      <w:r>
        <w:rPr>
          <w:color w:val="000000" w:themeColor="text1"/>
        </w:rPr>
        <w:t xml:space="preserve"> veebilehe pidamise kohustus.</w:t>
      </w:r>
      <w:r w:rsidR="006C7447">
        <w:rPr>
          <w:color w:val="000000" w:themeColor="text1"/>
        </w:rPr>
        <w:t xml:space="preserve"> V</w:t>
      </w:r>
      <w:r w:rsidR="006C7447" w:rsidDel="00820754">
        <w:rPr>
          <w:color w:val="000000" w:themeColor="text1"/>
        </w:rPr>
        <w:t>eebilehe pidamine on vajalik tagamaks tegevuskavas sisalduvate tegevuste ja nende tulemuste osas informatsiooni kättesaadavus kõikidele mesinikele ning muudele asjast huvitatud isikutele.</w:t>
      </w:r>
      <w:r w:rsidR="00DA2E4E">
        <w:rPr>
          <w:color w:val="000000" w:themeColor="text1"/>
        </w:rPr>
        <w:t xml:space="preserve"> </w:t>
      </w:r>
      <w:r w:rsidR="00DA2E4E">
        <w:t>V</w:t>
      </w:r>
      <w:r w:rsidR="00690328">
        <w:t xml:space="preserve">eebilehel tuleb avalikustada vähemalt järgmine teave: mesinduskogu nimi ja kontaktandmed; </w:t>
      </w:r>
      <w:r w:rsidR="00690328" w:rsidRPr="006F547F">
        <w:rPr>
          <w:color w:val="000000" w:themeColor="text1"/>
        </w:rPr>
        <w:t>mesinduskogu liikmete ja partnerite nimekiri</w:t>
      </w:r>
      <w:r w:rsidR="00690328">
        <w:rPr>
          <w:color w:val="000000" w:themeColor="text1"/>
        </w:rPr>
        <w:t xml:space="preserve">; </w:t>
      </w:r>
      <w:r w:rsidR="00690328" w:rsidRPr="006F547F">
        <w:rPr>
          <w:color w:val="000000" w:themeColor="text1"/>
        </w:rPr>
        <w:t>PRIA otsusega heakskiidetud tegevuskava ja tegevuskava muudatused</w:t>
      </w:r>
      <w:r w:rsidR="00690328">
        <w:rPr>
          <w:color w:val="000000" w:themeColor="text1"/>
        </w:rPr>
        <w:t xml:space="preserve">; tegevuskavas sisalduvate </w:t>
      </w:r>
      <w:r w:rsidR="00690328" w:rsidRPr="006F547F">
        <w:rPr>
          <w:color w:val="000000" w:themeColor="text1"/>
        </w:rPr>
        <w:t>teabe- ja õppepäevade n</w:t>
      </w:r>
      <w:r w:rsidR="00690328">
        <w:rPr>
          <w:color w:val="000000" w:themeColor="text1"/>
        </w:rPr>
        <w:t xml:space="preserve">ing kursuste toimumise kohad, </w:t>
      </w:r>
      <w:r w:rsidR="00690328" w:rsidRPr="006F547F">
        <w:rPr>
          <w:color w:val="000000" w:themeColor="text1"/>
        </w:rPr>
        <w:t>ajad</w:t>
      </w:r>
      <w:r w:rsidR="00690328">
        <w:rPr>
          <w:color w:val="000000" w:themeColor="text1"/>
        </w:rPr>
        <w:t xml:space="preserve"> ja päevakavad; </w:t>
      </w:r>
      <w:r w:rsidR="00690328" w:rsidRPr="00690328">
        <w:rPr>
          <w:color w:val="000000" w:themeColor="text1"/>
        </w:rPr>
        <w:t>teave tegevuskava raames mesinikele pakutavatest tegevustest osasaamise võimaluste kohta;</w:t>
      </w:r>
      <w:r w:rsidR="00690328">
        <w:rPr>
          <w:color w:val="000000" w:themeColor="text1"/>
        </w:rPr>
        <w:t xml:space="preserve"> </w:t>
      </w:r>
      <w:r w:rsidR="00690328" w:rsidRPr="00690328">
        <w:rPr>
          <w:color w:val="000000" w:themeColor="text1"/>
        </w:rPr>
        <w:t>ülevaade tegevuskava raames elluviidud tegevuste kohta, sealhulgas uuringute tulemused ja avaldatud teabematerjal</w:t>
      </w:r>
      <w:r w:rsidR="00690328" w:rsidRPr="006F547F">
        <w:rPr>
          <w:color w:val="000000" w:themeColor="text1"/>
        </w:rPr>
        <w:t>.</w:t>
      </w:r>
    </w:p>
    <w:p w14:paraId="4906D4ED" w14:textId="77777777" w:rsidR="00690328" w:rsidRPr="00DA2E4E" w:rsidRDefault="00690328" w:rsidP="00690328">
      <w:pPr>
        <w:jc w:val="both"/>
        <w:rPr>
          <w:color w:val="000000" w:themeColor="text1"/>
        </w:rPr>
      </w:pPr>
    </w:p>
    <w:p w14:paraId="60181B55" w14:textId="087DC7D8" w:rsidR="004B69AB" w:rsidRPr="00A321C1" w:rsidRDefault="00176A57" w:rsidP="004B69AB">
      <w:pPr>
        <w:jc w:val="both"/>
      </w:pPr>
      <w:r>
        <w:t>Lõikes 3 sätestatakse</w:t>
      </w:r>
      <w:r w:rsidR="004B69AB">
        <w:t xml:space="preserve"> mesinduskogule </w:t>
      </w:r>
      <w:r w:rsidR="004B69AB" w:rsidRPr="00831748">
        <w:t>varroatoosi ja mu</w:t>
      </w:r>
      <w:r w:rsidR="009A68C6">
        <w:t>ude mesilashaiguste seir</w:t>
      </w:r>
      <w:r w:rsidR="004B69AB" w:rsidRPr="00831748">
        <w:t xml:space="preserve">e, </w:t>
      </w:r>
      <w:r w:rsidR="004B69AB" w:rsidRPr="00662F8B">
        <w:t xml:space="preserve">ennetamise ja tõrje </w:t>
      </w:r>
      <w:r w:rsidR="004B69AB">
        <w:t xml:space="preserve">ning kahjurite tõrje </w:t>
      </w:r>
      <w:r w:rsidR="004B69AB" w:rsidRPr="00662F8B">
        <w:t xml:space="preserve">vahendi ostukulu kompenseerimisel </w:t>
      </w:r>
      <w:r w:rsidR="004B69AB">
        <w:t>selle kohta arvestuse</w:t>
      </w:r>
      <w:r w:rsidR="004B69AB" w:rsidRPr="00662F8B">
        <w:t xml:space="preserve"> pidamise kohustus. Vahendid ostab mesinduskogu ja jaotab need tegevuskavas sätestatud kriteeriumite alusel nõuetele vastavatele mesinikele. </w:t>
      </w:r>
      <w:r w:rsidR="004B69AB">
        <w:t xml:space="preserve">Vahendite ostukulu kompenseerimise taotlemisel peab mesinduskogu vahendite jaotamise kriteeriumitele vastamise, mesinike nõuetele vastavuse ja kompenseeritavate vahendite nõuetele vastavuse tõendamiseks esitama PRIA-le andmed kompenseeritava vahendi saanud mesinike ja vahendite kohta. </w:t>
      </w:r>
      <w:r w:rsidR="004B69AB" w:rsidRPr="00337099">
        <w:t>Selleks</w:t>
      </w:r>
      <w:r w:rsidR="004B69AB">
        <w:t xml:space="preserve"> vajalike andmete kogumiseks</w:t>
      </w:r>
      <w:r w:rsidR="004B69AB" w:rsidRPr="00337099">
        <w:t xml:space="preserve"> ongi sätestatud mesinduskogule </w:t>
      </w:r>
      <w:r w:rsidR="004B69AB">
        <w:t>arvestuse</w:t>
      </w:r>
      <w:r w:rsidR="004B69AB" w:rsidRPr="00337099">
        <w:t xml:space="preserve"> pidamise kohustus. </w:t>
      </w:r>
      <w:r w:rsidR="004B69AB">
        <w:t>Arvestust peetakse mesinduskogult kompenseeritava vahendi saanud</w:t>
      </w:r>
      <w:r w:rsidR="004B69AB" w:rsidRPr="00337099">
        <w:t xml:space="preserve"> </w:t>
      </w:r>
      <w:r w:rsidR="004B69AB">
        <w:t xml:space="preserve">mesiniku </w:t>
      </w:r>
      <w:r w:rsidR="004B69AB" w:rsidRPr="00337099">
        <w:t>nim</w:t>
      </w:r>
      <w:r w:rsidR="004B69AB">
        <w:t>e ja isikukoodi</w:t>
      </w:r>
      <w:r w:rsidR="004B69AB" w:rsidRPr="00337099">
        <w:t xml:space="preserve"> </w:t>
      </w:r>
      <w:r w:rsidR="004B69AB">
        <w:t>või</w:t>
      </w:r>
      <w:r w:rsidR="004B69AB" w:rsidRPr="00337099">
        <w:t xml:space="preserve"> ärinim</w:t>
      </w:r>
      <w:r w:rsidR="004B69AB">
        <w:t xml:space="preserve">e ja </w:t>
      </w:r>
      <w:r w:rsidR="004B69AB">
        <w:lastRenderedPageBreak/>
        <w:t xml:space="preserve">äriregistri koodi (füüsilisest isikust ettevõtja puhul peetakse arvestust ärinime ja äriregistri koodi kohta) </w:t>
      </w:r>
      <w:r w:rsidR="004B69AB" w:rsidRPr="00337099">
        <w:t>ning kompenseeritava vah</w:t>
      </w:r>
      <w:r w:rsidR="004B69AB">
        <w:t>endi nimetuse, koguse ja mesinikule andmise</w:t>
      </w:r>
      <w:r w:rsidR="004B69AB" w:rsidRPr="00337099">
        <w:t xml:space="preserve"> </w:t>
      </w:r>
      <w:r w:rsidR="004B69AB">
        <w:t>kuupäeva kohta</w:t>
      </w:r>
      <w:r w:rsidR="004B69AB" w:rsidRPr="00337099">
        <w:t>.</w:t>
      </w:r>
    </w:p>
    <w:p w14:paraId="07E16A12" w14:textId="0CDB8290" w:rsidR="00203D57" w:rsidRDefault="00203D57" w:rsidP="00203811">
      <w:pPr>
        <w:jc w:val="both"/>
        <w:rPr>
          <w:b/>
        </w:rPr>
      </w:pPr>
    </w:p>
    <w:p w14:paraId="258A9886" w14:textId="20772239" w:rsidR="00E87995" w:rsidRDefault="00E87995" w:rsidP="00E87995">
      <w:pPr>
        <w:jc w:val="both"/>
      </w:pPr>
      <w:r w:rsidRPr="00CA135A">
        <w:rPr>
          <w:b/>
        </w:rPr>
        <w:t xml:space="preserve">Eelnõu §-ga </w:t>
      </w:r>
      <w:r w:rsidR="00BA2593">
        <w:rPr>
          <w:b/>
        </w:rPr>
        <w:t>1</w:t>
      </w:r>
      <w:r>
        <w:rPr>
          <w:b/>
        </w:rPr>
        <w:t>7</w:t>
      </w:r>
      <w:r>
        <w:t xml:space="preserve"> sätestatakse nõuded </w:t>
      </w:r>
      <w:r w:rsidRPr="00A257DD">
        <w:t>t</w:t>
      </w:r>
      <w:r>
        <w:t>oetatava tegevuse raames oste</w:t>
      </w:r>
      <w:r w:rsidRPr="00A257DD">
        <w:t xml:space="preserve">tava töö, teenuse või toote </w:t>
      </w:r>
      <w:r>
        <w:t>ostumenetluse kohta.</w:t>
      </w:r>
    </w:p>
    <w:p w14:paraId="510A2073" w14:textId="77777777" w:rsidR="00E87995" w:rsidRDefault="00E87995" w:rsidP="00E87995">
      <w:pPr>
        <w:jc w:val="both"/>
      </w:pPr>
    </w:p>
    <w:p w14:paraId="0C8BB878" w14:textId="4F232ED6" w:rsidR="00E87995" w:rsidRDefault="00E87995" w:rsidP="00E87995">
      <w:pPr>
        <w:jc w:val="both"/>
      </w:pPr>
      <w:r>
        <w:t>Lõikes 1 sätestatakse, et juhul kui toetatava tegevuse raames ostetava töö, teenuse või toote käibemaksuta maksumus ületab 5 000 eurot, peab mesinduskogu olema tehtava kulu kohta saanud vähemalt kolm võrreldavat hinnapakkumust koos töö, teenuse või toote üksikasjaliku kirjeldusega. Kui toetava tegevuse raames tehtava kulu käibemaksuta maksumus jääb alla 5 000 eurot või kui tehtava kulu kohta on lihtsustatud kulumeetodina kehtestatud ühikuhind, siis hinnapakkumust küsima ei pea.</w:t>
      </w:r>
    </w:p>
    <w:p w14:paraId="67307B27" w14:textId="77777777" w:rsidR="00E87995" w:rsidRDefault="00E87995" w:rsidP="00E87995">
      <w:pPr>
        <w:jc w:val="both"/>
      </w:pPr>
    </w:p>
    <w:p w14:paraId="49F183C6" w14:textId="77777777" w:rsidR="00E87995" w:rsidRPr="00C774CC" w:rsidRDefault="00E87995" w:rsidP="00E87995">
      <w:pPr>
        <w:jc w:val="both"/>
        <w:rPr>
          <w:color w:val="000000" w:themeColor="text1"/>
        </w:rPr>
      </w:pPr>
      <w:r>
        <w:t xml:space="preserve">Lõike 2 kohaselt võib mesinduskogu juhul, kui nõutud on vähemalt kolme võrreldava hinnapakkumuse küsimine, küsida alla kolme hinnapakkumuse, kui kolme hinnapakkumuse küsimine ei ole objektiivselt võimalik. Mesinduskogu peab sellisel juhul esitama selle kohta põhjenduse. </w:t>
      </w:r>
    </w:p>
    <w:p w14:paraId="51591F64" w14:textId="77777777" w:rsidR="00E87995" w:rsidRDefault="00E87995" w:rsidP="00E87995">
      <w:pPr>
        <w:jc w:val="both"/>
      </w:pPr>
    </w:p>
    <w:p w14:paraId="63161EB6" w14:textId="77777777" w:rsidR="00E87995" w:rsidRPr="00C43730" w:rsidRDefault="00E87995" w:rsidP="00E87995">
      <w:pPr>
        <w:jc w:val="both"/>
      </w:pPr>
      <w:r w:rsidRPr="00C43730">
        <w:t xml:space="preserve">Lõike 3 kohaselt </w:t>
      </w:r>
      <w:r>
        <w:t>ei tohi väljavalitud hinnapakkumus olla põhjendamatult kõrge võrreldes tavaliselt sarnase töö, teenuse või toote eest tasutava hinnaga. Kui mesinduskogu ei ole valinud odavaimat hinnapakkumust, peab ta tehtud valikut põhjendama.</w:t>
      </w:r>
    </w:p>
    <w:p w14:paraId="62A50EB9" w14:textId="77777777" w:rsidR="00E87995" w:rsidRDefault="00E87995" w:rsidP="00E87995">
      <w:pPr>
        <w:jc w:val="both"/>
        <w:rPr>
          <w:b/>
        </w:rPr>
      </w:pPr>
    </w:p>
    <w:p w14:paraId="7132AA8B" w14:textId="77777777" w:rsidR="00E87995" w:rsidRPr="00031645" w:rsidRDefault="00E87995" w:rsidP="00E87995">
      <w:pPr>
        <w:jc w:val="both"/>
        <w:rPr>
          <w:color w:val="000000" w:themeColor="text1"/>
        </w:rPr>
      </w:pPr>
      <w:r>
        <w:rPr>
          <w:color w:val="000000" w:themeColor="text1"/>
        </w:rPr>
        <w:t>Lõikega</w:t>
      </w:r>
      <w:r w:rsidRPr="00031645">
        <w:rPr>
          <w:color w:val="000000" w:themeColor="text1"/>
        </w:rPr>
        <w:t xml:space="preserve"> 4</w:t>
      </w:r>
      <w:r>
        <w:rPr>
          <w:color w:val="000000" w:themeColor="text1"/>
        </w:rPr>
        <w:t xml:space="preserve"> sätestatakse andmed, mida hinnapakkumus peab sisaldama.</w:t>
      </w:r>
      <w:r w:rsidRPr="00031645">
        <w:rPr>
          <w:color w:val="000000" w:themeColor="text1"/>
        </w:rPr>
        <w:t xml:space="preserve"> </w:t>
      </w:r>
      <w:r>
        <w:rPr>
          <w:color w:val="000000" w:themeColor="text1"/>
        </w:rPr>
        <w:t xml:space="preserve">Hinnapakkumuses peavad sisalduma mesinduskogu nimi, hinnapakkuja nimi ja kontaktandmed, hinnapakkumuse väljastamise kuupäev ning töö, teenuse või toote üksikasjaliku kirjeldus ning käibemaksuta ja käibemaksuga maksumus.  </w:t>
      </w:r>
    </w:p>
    <w:p w14:paraId="3FC58072" w14:textId="77777777" w:rsidR="00E87995" w:rsidRDefault="00E87995" w:rsidP="00E87995">
      <w:pPr>
        <w:jc w:val="both"/>
      </w:pPr>
    </w:p>
    <w:p w14:paraId="75914F1B" w14:textId="1551CCA9" w:rsidR="00E87995" w:rsidRPr="00E87995" w:rsidRDefault="00E87995" w:rsidP="00203811">
      <w:pPr>
        <w:jc w:val="both"/>
        <w:rPr>
          <w:b/>
          <w:color w:val="000000" w:themeColor="text1"/>
        </w:rPr>
      </w:pPr>
      <w:r>
        <w:t>Lõike 5 kohaselt</w:t>
      </w:r>
      <w:r w:rsidRPr="004B7FC5">
        <w:t xml:space="preserve"> </w:t>
      </w:r>
      <w:r>
        <w:t>ei või mesinduskogu küsida hinnapakkumust endaga ega omavahel seotud isikutelt tulumaksuseaduse § 8 tähenduses.</w:t>
      </w:r>
    </w:p>
    <w:p w14:paraId="7F178BC4" w14:textId="77777777" w:rsidR="00E87995" w:rsidRDefault="00E87995" w:rsidP="00203811">
      <w:pPr>
        <w:jc w:val="both"/>
        <w:rPr>
          <w:b/>
        </w:rPr>
      </w:pPr>
    </w:p>
    <w:p w14:paraId="15998E23" w14:textId="6294BCB0" w:rsidR="000F3F62" w:rsidRDefault="000F3F62" w:rsidP="00203811">
      <w:pPr>
        <w:jc w:val="both"/>
      </w:pPr>
      <w:r w:rsidRPr="000F3F62">
        <w:rPr>
          <w:b/>
        </w:rPr>
        <w:t>Eelnõu §-ga 1</w:t>
      </w:r>
      <w:r w:rsidR="0085757D">
        <w:rPr>
          <w:b/>
        </w:rPr>
        <w:t>8</w:t>
      </w:r>
      <w:r>
        <w:t xml:space="preserve"> sätestatakse</w:t>
      </w:r>
      <w:r w:rsidR="00F76884">
        <w:t xml:space="preserve"> toetuse maksmise tingimused.</w:t>
      </w:r>
    </w:p>
    <w:p w14:paraId="7EC29224" w14:textId="096D726E" w:rsidR="00F76884" w:rsidRDefault="00F76884" w:rsidP="00203811">
      <w:pPr>
        <w:jc w:val="both"/>
      </w:pPr>
    </w:p>
    <w:p w14:paraId="43C79A35" w14:textId="52FD7338" w:rsidR="00FB2B95" w:rsidRDefault="00506F76" w:rsidP="00203811">
      <w:pPr>
        <w:jc w:val="both"/>
      </w:pPr>
      <w:r>
        <w:t>Lõikega 1 sätestatavaks toetuse maksmise tingimuseks on</w:t>
      </w:r>
      <w:r w:rsidR="00132814">
        <w:t xml:space="preserve"> toetuse maksmine</w:t>
      </w:r>
      <w:r w:rsidR="00132814" w:rsidRPr="00132814">
        <w:t xml:space="preserve"> </w:t>
      </w:r>
      <w:r w:rsidR="00132814" w:rsidRPr="007A0C9D">
        <w:t xml:space="preserve">üksnes </w:t>
      </w:r>
      <w:r w:rsidR="00132814">
        <w:t>nende abikõlblike kulude hüvitamiseks, mis on tehtud asjakohasel eelarveaastal tegevuskavas ettenähtud tegevuste elluviimiseks asjakohase sekkumisviisi tegevuste rahastamiseks</w:t>
      </w:r>
      <w:r w:rsidR="00132814" w:rsidRPr="00F729D8">
        <w:t xml:space="preserve"> </w:t>
      </w:r>
      <w:r w:rsidR="00132814">
        <w:t>ettenähtud vahendite piires.</w:t>
      </w:r>
      <w:r w:rsidR="00132814" w:rsidRPr="00132814">
        <w:t xml:space="preserve"> </w:t>
      </w:r>
      <w:r w:rsidR="00FB2B95">
        <w:t>T</w:t>
      </w:r>
      <w:r w:rsidR="00132814">
        <w:t>aotlus eelarveaastal tehtud abikõlblike kulude hüvitamiseks esitatakse PRIA-le hiljemalt asjakohase eelarveaasta 1. septembriks (maksetaotluse ja kulusid tõendavate dokumentide esitamise tä</w:t>
      </w:r>
      <w:r w:rsidR="00BA2593">
        <w:t>htaeg on sätestatud määruse § 19</w:t>
      </w:r>
      <w:r w:rsidR="00132814">
        <w:t xml:space="preserve"> lõikes 1) ning asjakohane eelarveaasta lõpeb 15. oktoobril</w:t>
      </w:r>
      <w:r w:rsidR="00FB2B95">
        <w:t xml:space="preserve">. Abikõlblikud kulud, mis tehakse asjakohasel eelarveaastal tegevuskavas ettenähtud tegevustega seonduvalt, kuid mille hüvitamiseks </w:t>
      </w:r>
      <w:r w:rsidR="008B6C14">
        <w:t xml:space="preserve">asjakohase eelarveaasta 1. septembriks taotlust esitada ei jõuta (näiteks kui tegevus lõppes vahetult enne taotluse esitamise tähtaega ja nõutavaid kuludokumente polnud võimalik tähtajaks esitada) või ei ole taotluse esitamine </w:t>
      </w:r>
      <w:r w:rsidR="00320992">
        <w:t xml:space="preserve">enam </w:t>
      </w:r>
      <w:r w:rsidR="008B6C14">
        <w:t>võimalik (kulud tehti peale asjakohase eelarveaasta 1.</w:t>
      </w:r>
      <w:r w:rsidR="00092895">
        <w:t xml:space="preserve"> </w:t>
      </w:r>
      <w:r w:rsidR="008B6C14">
        <w:t>septembrit</w:t>
      </w:r>
      <w:r w:rsidR="00320992">
        <w:t>,</w:t>
      </w:r>
      <w:r w:rsidR="008B6C14">
        <w:t xml:space="preserve"> kuid enne uue eelarveaasta algust), hüvitatakse </w:t>
      </w:r>
      <w:r w:rsidR="00320992">
        <w:t xml:space="preserve">juba järgmise eelarveaasta vahenditest. </w:t>
      </w:r>
      <w:r w:rsidR="00092895">
        <w:t>1. septembriks PRIA-le esitamata abikõlblike kulude puhul</w:t>
      </w:r>
      <w:r w:rsidR="00320992">
        <w:t xml:space="preserve"> tuleb arvestada, et </w:t>
      </w:r>
      <w:r w:rsidR="00092895">
        <w:t xml:space="preserve">järgmisel eelarveaastal selle vahenditest nii eelmisel eelarveaastal tähtajaks esitamata jäänud kulude kui ka järgmise eelarveaasta enda tegevustega seotud kulude hüvitamisel </w:t>
      </w:r>
      <w:r w:rsidR="00257C90">
        <w:t>ei ületataks</w:t>
      </w:r>
      <w:r w:rsidR="00092895">
        <w:t xml:space="preserve"> </w:t>
      </w:r>
      <w:r w:rsidR="00257C90">
        <w:t>tegevuskavas ettenähtud tegevuste elluviimiseks asjakohase sekkumisviisi tegevuste rahastamiseks</w:t>
      </w:r>
      <w:r w:rsidR="00257C90" w:rsidRPr="00F729D8">
        <w:t xml:space="preserve"> </w:t>
      </w:r>
      <w:r w:rsidR="00257C90">
        <w:t>ettenähtud vahendite summat.</w:t>
      </w:r>
    </w:p>
    <w:p w14:paraId="268C73E9" w14:textId="77777777" w:rsidR="00320992" w:rsidRDefault="00320992" w:rsidP="00203811">
      <w:pPr>
        <w:jc w:val="both"/>
      </w:pPr>
    </w:p>
    <w:p w14:paraId="398D7E4C" w14:textId="02FD48F0" w:rsidR="001C6EF6" w:rsidRDefault="00A529AD" w:rsidP="00203811">
      <w:pPr>
        <w:jc w:val="both"/>
      </w:pPr>
      <w:r>
        <w:t xml:space="preserve">Lõikega </w:t>
      </w:r>
      <w:r w:rsidR="00F002BC">
        <w:t>2</w:t>
      </w:r>
      <w:r>
        <w:t xml:space="preserve"> sätestatavaks toetuse maksmise tingimuseks on tööde ja teenuste</w:t>
      </w:r>
      <w:r w:rsidR="00A44B42">
        <w:t>,</w:t>
      </w:r>
      <w:r w:rsidR="00A44B42" w:rsidRPr="00A44B42">
        <w:t xml:space="preserve"> </w:t>
      </w:r>
      <w:r w:rsidR="00A44B42" w:rsidRPr="005F712E">
        <w:t xml:space="preserve">mille kulude hüvitamiseks </w:t>
      </w:r>
      <w:r w:rsidR="00A44B42">
        <w:t xml:space="preserve">toetuse maksmist </w:t>
      </w:r>
      <w:r w:rsidR="00A44B42" w:rsidRPr="005F712E">
        <w:t>ta</w:t>
      </w:r>
      <w:r w:rsidR="00A44B42">
        <w:t xml:space="preserve">otletakse, lõpetatus ning </w:t>
      </w:r>
      <w:r w:rsidR="00FE35A7">
        <w:t xml:space="preserve">mesinduskogu poolt tööde tegijale ja teenuste osutajale </w:t>
      </w:r>
      <w:r w:rsidR="00A44B42">
        <w:t>nende eest täielik tasumine.</w:t>
      </w:r>
      <w:r w:rsidR="00B1473E">
        <w:t xml:space="preserve"> </w:t>
      </w:r>
      <w:r w:rsidR="00FF5906">
        <w:t xml:space="preserve">Tööde ja teenuste lõpetatuse ning nende eest täieliku tasumise nõue tähendab seda, et näiteks </w:t>
      </w:r>
      <w:r w:rsidR="00B1473E">
        <w:t xml:space="preserve">meetooteid tutvustava ürituse puhul </w:t>
      </w:r>
      <w:r w:rsidR="00FF5906">
        <w:t xml:space="preserve">enne selle </w:t>
      </w:r>
      <w:r w:rsidR="009E6F9A">
        <w:t xml:space="preserve">ürituse toimumist </w:t>
      </w:r>
      <w:r w:rsidR="00FF5906">
        <w:t xml:space="preserve">tekkinud ja mesinduskogu tasutud kulusid (nt </w:t>
      </w:r>
      <w:r w:rsidR="00422BBE">
        <w:t xml:space="preserve">ette makstud </w:t>
      </w:r>
      <w:r w:rsidR="00FF5906">
        <w:t xml:space="preserve">ruumi </w:t>
      </w:r>
      <w:r w:rsidR="00422BBE">
        <w:t>rendikulud</w:t>
      </w:r>
      <w:r w:rsidR="00FF5906">
        <w:t>) eraldi ei hüvitata</w:t>
      </w:r>
      <w:r w:rsidR="00217D69" w:rsidRPr="00217D69">
        <w:t xml:space="preserve"> – toetus selliste kulude hüvitamiseks makstakse peale ürituse toimumist korraga </w:t>
      </w:r>
      <w:r w:rsidR="00217D69" w:rsidRPr="00217D69">
        <w:lastRenderedPageBreak/>
        <w:t>kõikide selle üritusega seotud abikõlblike kulude kohta.</w:t>
      </w:r>
      <w:r w:rsidR="00A33C7D">
        <w:t xml:space="preserve"> </w:t>
      </w:r>
      <w:r w:rsidR="00176D26">
        <w:t xml:space="preserve">Töö ja </w:t>
      </w:r>
      <w:r w:rsidR="006502C3">
        <w:t xml:space="preserve">teenuse puhul, mis </w:t>
      </w:r>
      <w:r w:rsidR="00DA1BAB">
        <w:t>tegevuskava järgi on eelarveaasta sees jaotatud kaheks või enamaks</w:t>
      </w:r>
      <w:r w:rsidR="001E0BC7">
        <w:t xml:space="preserve"> sa</w:t>
      </w:r>
      <w:r w:rsidR="000F7377">
        <w:t>masuguse</w:t>
      </w:r>
      <w:r w:rsidR="00DA1BAB">
        <w:t>ks</w:t>
      </w:r>
      <w:r w:rsidR="000F7377">
        <w:t xml:space="preserve"> </w:t>
      </w:r>
      <w:r w:rsidR="00DA1BAB">
        <w:t>terviklikuna käsitletavaks</w:t>
      </w:r>
      <w:r w:rsidR="006502C3">
        <w:t xml:space="preserve"> </w:t>
      </w:r>
      <w:r w:rsidR="000F7377">
        <w:t>töö</w:t>
      </w:r>
      <w:r w:rsidR="00DA1BAB">
        <w:t>ks</w:t>
      </w:r>
      <w:r w:rsidR="000F7377">
        <w:t xml:space="preserve"> ja teenuse</w:t>
      </w:r>
      <w:r w:rsidR="00DA1BAB">
        <w:t>ks</w:t>
      </w:r>
      <w:r w:rsidR="006502C3">
        <w:t xml:space="preserve"> (nt neljast </w:t>
      </w:r>
      <w:r w:rsidR="00DA1BAB">
        <w:t xml:space="preserve">erineval ajal toimuvast </w:t>
      </w:r>
      <w:r w:rsidR="00265C50">
        <w:t>õppepäevast koosnev koolitus</w:t>
      </w:r>
      <w:r w:rsidR="00DA1BAB">
        <w:t>)</w:t>
      </w:r>
      <w:r w:rsidR="001E0BC7">
        <w:t>,</w:t>
      </w:r>
      <w:r w:rsidR="00DA1BAB">
        <w:t xml:space="preserve"> loetakse </w:t>
      </w:r>
      <w:r w:rsidR="0014633E">
        <w:t>eraldi iga üksik</w:t>
      </w:r>
      <w:r w:rsidR="00DA1BAB">
        <w:t xml:space="preserve"> </w:t>
      </w:r>
      <w:r w:rsidR="00265C50">
        <w:t xml:space="preserve">terviklik </w:t>
      </w:r>
      <w:r w:rsidR="00DA1BAB">
        <w:t xml:space="preserve">töö ja teenus </w:t>
      </w:r>
      <w:r w:rsidR="00265C50">
        <w:t xml:space="preserve">(nt õppepäev) </w:t>
      </w:r>
      <w:r w:rsidR="0014633E">
        <w:t xml:space="preserve">peale selle teostamist </w:t>
      </w:r>
      <w:r w:rsidR="00DA1BAB">
        <w:t>lõpetatuks</w:t>
      </w:r>
      <w:r w:rsidR="0014633E">
        <w:t xml:space="preserve">. </w:t>
      </w:r>
      <w:r w:rsidR="00AE2DFF">
        <w:t xml:space="preserve">Töö ja teenuse puhul, mis on tegevuskavas ette nähtud </w:t>
      </w:r>
      <w:r w:rsidR="00176D26">
        <w:t xml:space="preserve">ühte eelarveaastat ületava töö või teenusena </w:t>
      </w:r>
      <w:r w:rsidR="00360973">
        <w:t>(nt teadusuuring), loetakse</w:t>
      </w:r>
      <w:r w:rsidR="00176D26">
        <w:t xml:space="preserve"> </w:t>
      </w:r>
      <w:r w:rsidR="00360973">
        <w:t xml:space="preserve">töö ja teenus </w:t>
      </w:r>
      <w:r w:rsidR="002F458A">
        <w:t>asjakohase eelarveaasta osas</w:t>
      </w:r>
      <w:r w:rsidR="00360973">
        <w:t xml:space="preserve"> lõppenuks</w:t>
      </w:r>
      <w:r w:rsidR="002F458A">
        <w:t>, kui tegevuskavas antud</w:t>
      </w:r>
      <w:r w:rsidR="00360973">
        <w:t xml:space="preserve"> eelarveaasta</w:t>
      </w:r>
      <w:r w:rsidR="00F25CEE">
        <w:t xml:space="preserve">l </w:t>
      </w:r>
      <w:r w:rsidR="00360973">
        <w:t>ettenähtud tööd ja teenused on lõpule viidud.</w:t>
      </w:r>
      <w:r w:rsidR="00A33C7D">
        <w:t xml:space="preserve"> </w:t>
      </w:r>
      <w:r w:rsidR="001C6EF6">
        <w:t>Usaldusmesiniku poo</w:t>
      </w:r>
      <w:r w:rsidR="008A1530">
        <w:t xml:space="preserve">lt </w:t>
      </w:r>
      <w:r w:rsidR="00252487">
        <w:t xml:space="preserve">mesinikele </w:t>
      </w:r>
      <w:r w:rsidR="008A1530">
        <w:t>nõuandeteenuse osutamisel ning mesinduskogu poolt mesinikele mesilashaiguste ja</w:t>
      </w:r>
      <w:r w:rsidR="008A1530" w:rsidRPr="008A1530">
        <w:t xml:space="preserve"> kahjurite tõrje vahendi</w:t>
      </w:r>
      <w:r w:rsidR="008A1530">
        <w:t xml:space="preserve">te andmisel </w:t>
      </w:r>
      <w:r w:rsidR="00252487">
        <w:t>loetakse töö ja teenus lõpetatuks</w:t>
      </w:r>
      <w:r w:rsidR="00841E7D">
        <w:t xml:space="preserve"> eraldi iga üksiku nõustamiseteenuse osutamise ning vahendi andmise järel (kulusid hüvitatakse usaldusmesinike ja mesinduskogu poolt peetava ja PRIA-le esitatava arvestuse alusel).</w:t>
      </w:r>
    </w:p>
    <w:p w14:paraId="678B621B" w14:textId="77777777" w:rsidR="001D59A7" w:rsidRDefault="001D59A7" w:rsidP="00203811">
      <w:pPr>
        <w:jc w:val="both"/>
      </w:pPr>
    </w:p>
    <w:p w14:paraId="5F111B4D" w14:textId="0336140C" w:rsidR="000F3F62" w:rsidRDefault="000F3F62" w:rsidP="00203811">
      <w:pPr>
        <w:jc w:val="both"/>
      </w:pPr>
      <w:r w:rsidRPr="000F3F62">
        <w:rPr>
          <w:b/>
        </w:rPr>
        <w:t>Eelnõu §-ga 1</w:t>
      </w:r>
      <w:r w:rsidR="00F002BC">
        <w:rPr>
          <w:b/>
        </w:rPr>
        <w:t>9</w:t>
      </w:r>
      <w:r>
        <w:t xml:space="preserve"> sätestatakse</w:t>
      </w:r>
      <w:r w:rsidR="00B72A80">
        <w:t xml:space="preserve"> maksetaotluse ja tõendavate dokumentide esitamine.</w:t>
      </w:r>
    </w:p>
    <w:p w14:paraId="131889F5" w14:textId="2F714549" w:rsidR="00B72A80" w:rsidRDefault="00B72A80" w:rsidP="00203811">
      <w:pPr>
        <w:jc w:val="both"/>
      </w:pPr>
    </w:p>
    <w:p w14:paraId="277BCDB9" w14:textId="356B0F2F" w:rsidR="00B72A80" w:rsidRDefault="00B72A80" w:rsidP="00203811">
      <w:pPr>
        <w:jc w:val="both"/>
      </w:pPr>
      <w:r>
        <w:t>Lõikega 1</w:t>
      </w:r>
      <w:r w:rsidR="00093FCA">
        <w:t xml:space="preserve"> sätestat</w:t>
      </w:r>
      <w:r w:rsidR="00385309">
        <w:t xml:space="preserve">akse maksetaotluse ja </w:t>
      </w:r>
      <w:r w:rsidR="00093FCA">
        <w:t xml:space="preserve">tõendavate dokumentide esitamise tähtaeg. Eelarveaastal </w:t>
      </w:r>
      <w:r w:rsidR="00304D11">
        <w:t xml:space="preserve">tegevuskavas ettenähtud tegevustega seotud abikõlblike kulude hüvitamiseks toetuse väljamaksmiseks esitab mesinduskogu PRIA-le elektrooniliselt PRIA e-teenuse keskkonna kaudu maksetaotluse koos kulusid tõendavate dokumentidega </w:t>
      </w:r>
      <w:r w:rsidR="00DB083D">
        <w:t>või tegevuse elluviimist</w:t>
      </w:r>
      <w:r w:rsidR="00385309">
        <w:t xml:space="preserve"> tõendavate dokumentidega </w:t>
      </w:r>
      <w:r w:rsidR="00304D11">
        <w:t xml:space="preserve">hiljemalt asjakohase eelarveaasta 1. septembriks. </w:t>
      </w:r>
      <w:r w:rsidR="00853711">
        <w:t>Tähtaeg</w:t>
      </w:r>
      <w:r w:rsidR="00CE3293">
        <w:t xml:space="preserve"> </w:t>
      </w:r>
      <w:r w:rsidR="00853711">
        <w:t xml:space="preserve">1. september </w:t>
      </w:r>
      <w:r w:rsidR="00CE3293">
        <w:t>on sätestatud kaalut</w:t>
      </w:r>
      <w:r w:rsidR="00853711">
        <w:t>lusega, et PRIA-l oleks võimalik</w:t>
      </w:r>
      <w:r w:rsidR="00CE3293">
        <w:t xml:space="preserve"> </w:t>
      </w:r>
      <w:r w:rsidR="00903BD2">
        <w:t xml:space="preserve">kontrollida </w:t>
      </w:r>
      <w:r w:rsidR="00CE3293">
        <w:t xml:space="preserve">esitatud </w:t>
      </w:r>
      <w:r w:rsidR="00903BD2">
        <w:t xml:space="preserve">taotluse ja dokumentide nõuetekohasust ning </w:t>
      </w:r>
      <w:r w:rsidR="00853711">
        <w:t xml:space="preserve">jõuda </w:t>
      </w:r>
      <w:r w:rsidR="00903BD2">
        <w:t xml:space="preserve">kanda toetusraha mesinduskogu </w:t>
      </w:r>
      <w:r w:rsidR="00853711">
        <w:t>arvelduskontole enne asjakohase eelarveaasta lõppu (15. oktoober).</w:t>
      </w:r>
      <w:r w:rsidR="00577028">
        <w:t xml:space="preserve"> EL finantsreeglite kohaselt saab eelarveaasta kohta määratud toetuseraha taotlejatele</w:t>
      </w:r>
      <w:r w:rsidR="00CE3293">
        <w:t xml:space="preserve"> </w:t>
      </w:r>
      <w:r w:rsidR="00577028">
        <w:t>välja maksta vaid kuni eelarveaasta lõpuni.</w:t>
      </w:r>
    </w:p>
    <w:p w14:paraId="26ECFD3F" w14:textId="200AD628" w:rsidR="00CE3293" w:rsidRDefault="00CE3293" w:rsidP="00203811">
      <w:pPr>
        <w:jc w:val="both"/>
      </w:pPr>
    </w:p>
    <w:p w14:paraId="54E84FBE" w14:textId="1B446DE4" w:rsidR="00095D1C" w:rsidRDefault="00EE5F7A" w:rsidP="00495BC6">
      <w:pPr>
        <w:jc w:val="both"/>
      </w:pPr>
      <w:r>
        <w:t>Lõikes 2</w:t>
      </w:r>
      <w:r w:rsidR="009D4D17">
        <w:t xml:space="preserve"> loetletakse koos maks</w:t>
      </w:r>
      <w:r w:rsidR="00CB5912">
        <w:t>e</w:t>
      </w:r>
      <w:r w:rsidR="009D4D17">
        <w:t>taotlusega esitatavad kulusid tõendavad dokumendid.</w:t>
      </w:r>
      <w:r w:rsidR="00DE0B52">
        <w:t xml:space="preserve"> </w:t>
      </w:r>
      <w:r w:rsidR="006522F8">
        <w:t xml:space="preserve">Kulusid tõendavad dokumendid on: </w:t>
      </w:r>
    </w:p>
    <w:p w14:paraId="6BCDAF72" w14:textId="77777777" w:rsidR="00095D1C" w:rsidRDefault="00095D1C" w:rsidP="00495BC6">
      <w:pPr>
        <w:jc w:val="both"/>
      </w:pPr>
      <w:r>
        <w:t xml:space="preserve">1) </w:t>
      </w:r>
      <w:r w:rsidR="00495BC6">
        <w:t xml:space="preserve">selle isiku väljastatud arve-saatelehe või arve ärakiri, kellelt mesinduskogu tellis teenuse või töö või ostis kaupa; </w:t>
      </w:r>
    </w:p>
    <w:p w14:paraId="0CE19B95" w14:textId="77777777" w:rsidR="00095D1C" w:rsidRDefault="00095D1C" w:rsidP="00495BC6">
      <w:pPr>
        <w:jc w:val="both"/>
      </w:pPr>
      <w:r>
        <w:t xml:space="preserve">2) </w:t>
      </w:r>
      <w:r w:rsidR="00495BC6">
        <w:t xml:space="preserve">arve-saatelehe või arve ärakirjal märgitud rahalise kohustuse tasumist tõendav maksekorralduse ärakiri või väljatrükk või arvelduskonto väljavõte; </w:t>
      </w:r>
    </w:p>
    <w:p w14:paraId="7058C9B6" w14:textId="77777777" w:rsidR="00095D1C" w:rsidRDefault="00095D1C" w:rsidP="00495BC6">
      <w:pPr>
        <w:jc w:val="both"/>
      </w:pPr>
      <w:r>
        <w:t xml:space="preserve">3) </w:t>
      </w:r>
      <w:r w:rsidR="006522F8" w:rsidRPr="00747F08">
        <w:t xml:space="preserve">asjakohane tööleping, töövõtuleping, käsundusleping, müügileping, rendi- või üürileping, </w:t>
      </w:r>
      <w:r w:rsidR="00ED1DF6">
        <w:t>liisingu</w:t>
      </w:r>
      <w:r w:rsidR="00495BC6">
        <w:t>leping</w:t>
      </w:r>
      <w:r w:rsidR="00F56198" w:rsidRPr="00747F08">
        <w:t>;</w:t>
      </w:r>
      <w:r w:rsidR="00F56198" w:rsidRPr="00F56198">
        <w:t xml:space="preserve"> </w:t>
      </w:r>
    </w:p>
    <w:p w14:paraId="56C54B35" w14:textId="77777777" w:rsidR="00095D1C" w:rsidRDefault="00095D1C" w:rsidP="00495BC6">
      <w:pPr>
        <w:jc w:val="both"/>
        <w:rPr>
          <w:color w:val="000000" w:themeColor="text1"/>
        </w:rPr>
      </w:pPr>
      <w:r>
        <w:t xml:space="preserve">4) </w:t>
      </w:r>
      <w:r w:rsidR="00F56198" w:rsidRPr="00747F08">
        <w:t>tehtud töö või soetatud vara vastuvõtmist tõendav dokument;</w:t>
      </w:r>
      <w:r w:rsidR="00F56198" w:rsidRPr="00F56198">
        <w:rPr>
          <w:color w:val="000000" w:themeColor="text1"/>
        </w:rPr>
        <w:t xml:space="preserve"> </w:t>
      </w:r>
    </w:p>
    <w:p w14:paraId="618E3905" w14:textId="77777777" w:rsidR="00095D1C" w:rsidRDefault="00095D1C" w:rsidP="00495BC6">
      <w:pPr>
        <w:jc w:val="both"/>
      </w:pPr>
      <w:r>
        <w:rPr>
          <w:color w:val="000000" w:themeColor="text1"/>
        </w:rPr>
        <w:t xml:space="preserve">5) </w:t>
      </w:r>
      <w:r w:rsidR="00F56198" w:rsidRPr="005475A1">
        <w:rPr>
          <w:color w:val="000000" w:themeColor="text1"/>
        </w:rPr>
        <w:t xml:space="preserve">hinnapakkumuse küsimist tõendavad </w:t>
      </w:r>
      <w:r w:rsidR="00F56198" w:rsidRPr="007F66B9">
        <w:t>dokumend</w:t>
      </w:r>
      <w:r w:rsidR="00F56198">
        <w:t>id</w:t>
      </w:r>
      <w:r w:rsidR="00561439">
        <w:t xml:space="preserve"> ning nõutust vähema arvu hinnapakkumiste küsimise või mitte odavaima hinnapakkumuse valimise korral asjakohane selgitus</w:t>
      </w:r>
      <w:r w:rsidR="00F56198" w:rsidRPr="007F66B9">
        <w:t>;</w:t>
      </w:r>
      <w:r w:rsidR="00F56198" w:rsidRPr="00F56198">
        <w:t xml:space="preserve"> </w:t>
      </w:r>
    </w:p>
    <w:p w14:paraId="58F64B37" w14:textId="77777777" w:rsidR="00095D1C" w:rsidRDefault="00095D1C" w:rsidP="00495BC6">
      <w:pPr>
        <w:jc w:val="both"/>
      </w:pPr>
      <w:r>
        <w:t xml:space="preserve">6) </w:t>
      </w:r>
      <w:r w:rsidR="00F56198" w:rsidRPr="007F66B9">
        <w:t>palgaleht, millelt on näha töötaja ja tema tööandja nimi,</w:t>
      </w:r>
      <w:r w:rsidR="00F56198">
        <w:t xml:space="preserve"> tehtud töö või osutatud teenuse kirjeldus ja seos tegevuskavaga, tööpäevade ja –tundide arv, </w:t>
      </w:r>
      <w:r w:rsidR="00F56198" w:rsidRPr="007F66B9">
        <w:t>arvestatud töötasu ning sellest kinnipeetud maksud ja muud kinnipidamised ning makstav netotöötasu;</w:t>
      </w:r>
      <w:r w:rsidR="00F56198" w:rsidRPr="00F56198">
        <w:t xml:space="preserve"> </w:t>
      </w:r>
    </w:p>
    <w:p w14:paraId="1B4D4CD6" w14:textId="77777777" w:rsidR="00095D1C" w:rsidRDefault="00095D1C" w:rsidP="00495BC6">
      <w:pPr>
        <w:jc w:val="both"/>
      </w:pPr>
      <w:r>
        <w:t xml:space="preserve">7) </w:t>
      </w:r>
      <w:r w:rsidR="00F56198">
        <w:t>dokument töösuhte lõpetamise kohta;</w:t>
      </w:r>
      <w:r w:rsidR="00F56198" w:rsidRPr="00F56198">
        <w:t xml:space="preserve"> </w:t>
      </w:r>
    </w:p>
    <w:p w14:paraId="5F4EDC9F" w14:textId="77777777" w:rsidR="00095D1C" w:rsidRDefault="00095D1C" w:rsidP="00495BC6">
      <w:pPr>
        <w:jc w:val="both"/>
      </w:pPr>
      <w:r>
        <w:t xml:space="preserve">8) </w:t>
      </w:r>
      <w:r w:rsidR="00F56198">
        <w:t>sularahamakse tegemise</w:t>
      </w:r>
      <w:r w:rsidR="00495BC6">
        <w:t xml:space="preserve"> korral kassa väljamineku order</w:t>
      </w:r>
      <w:r w:rsidR="00F56198" w:rsidRPr="007F66B9">
        <w:t>;</w:t>
      </w:r>
      <w:r w:rsidR="00F56198" w:rsidRPr="00F56198">
        <w:t xml:space="preserve"> </w:t>
      </w:r>
    </w:p>
    <w:p w14:paraId="3B2ED475" w14:textId="77777777" w:rsidR="00095D1C" w:rsidRDefault="00095D1C" w:rsidP="00495BC6">
      <w:pPr>
        <w:jc w:val="both"/>
      </w:pPr>
      <w:r>
        <w:t xml:space="preserve">9) </w:t>
      </w:r>
      <w:r w:rsidR="00495BC6" w:rsidRPr="007F66B9">
        <w:t>lähetuskorraldus ja lähetuskulude aruanne koos päevaraha arvestusega</w:t>
      </w:r>
      <w:r w:rsidR="00495BC6">
        <w:t>;</w:t>
      </w:r>
      <w:r w:rsidR="00495BC6" w:rsidRPr="007F66B9">
        <w:t xml:space="preserve"> </w:t>
      </w:r>
    </w:p>
    <w:p w14:paraId="1415BBDD" w14:textId="77777777" w:rsidR="00095D1C" w:rsidRDefault="00095D1C" w:rsidP="00495BC6">
      <w:pPr>
        <w:jc w:val="both"/>
        <w:rPr>
          <w:color w:val="000000" w:themeColor="text1"/>
        </w:rPr>
      </w:pPr>
      <w:r>
        <w:t xml:space="preserve">10) </w:t>
      </w:r>
      <w:r w:rsidR="00F56198" w:rsidRPr="007F66B9">
        <w:t>sõidupäevik, mis sisaldab sõidukit kasutava isiku ees- ja perekonnanime, sõiduauto riikliku registreerimismärgi andmeid, sõiduauto odomeetri kaugusmõõdiku alg- ja lõppnäitu ning iga teenistus-, töö- või ametiülesannete täitmiseks tehtud sõidu kuupäeva ja sõidu eesmärki</w:t>
      </w:r>
      <w:r w:rsidR="00F56198">
        <w:t>;</w:t>
      </w:r>
      <w:r w:rsidR="00F56198" w:rsidRPr="00F56198">
        <w:rPr>
          <w:color w:val="000000" w:themeColor="text1"/>
        </w:rPr>
        <w:t xml:space="preserve"> </w:t>
      </w:r>
    </w:p>
    <w:p w14:paraId="21E49825" w14:textId="77777777" w:rsidR="00095D1C" w:rsidRDefault="00095D1C" w:rsidP="00495BC6">
      <w:pPr>
        <w:jc w:val="both"/>
      </w:pPr>
      <w:r>
        <w:rPr>
          <w:color w:val="000000" w:themeColor="text1"/>
        </w:rPr>
        <w:t xml:space="preserve">11) </w:t>
      </w:r>
      <w:r w:rsidR="00CB5912">
        <w:t xml:space="preserve">esmakordsel makse taotlemisel usaldusmesiniku poolt nõuandeteenuse osutamise </w:t>
      </w:r>
      <w:r w:rsidR="00CB5912" w:rsidRPr="00293DFF">
        <w:t>kohta</w:t>
      </w:r>
      <w:r w:rsidR="00CB5912">
        <w:t xml:space="preserve"> mesinduskogu ja usaldusmesiniku vahel </w:t>
      </w:r>
      <w:r w:rsidR="00FA0F6E">
        <w:t>sõlmitud</w:t>
      </w:r>
      <w:r w:rsidR="00EE3BC6">
        <w:t xml:space="preserve"> lepingu koopia</w:t>
      </w:r>
      <w:r w:rsidR="00FA0F6E">
        <w:t xml:space="preserve">; </w:t>
      </w:r>
    </w:p>
    <w:p w14:paraId="31BD5BD4" w14:textId="77777777" w:rsidR="00095D1C" w:rsidRDefault="00095D1C" w:rsidP="00495BC6">
      <w:pPr>
        <w:jc w:val="both"/>
        <w:rPr>
          <w:color w:val="000000" w:themeColor="text1"/>
        </w:rPr>
      </w:pPr>
      <w:r>
        <w:t xml:space="preserve">12) </w:t>
      </w:r>
      <w:r w:rsidR="00627667">
        <w:t>usaldusmesinike poolt</w:t>
      </w:r>
      <w:r w:rsidR="00E36E4F" w:rsidRPr="00F6704A">
        <w:rPr>
          <w:color w:val="000000" w:themeColor="text1"/>
        </w:rPr>
        <w:t xml:space="preserve"> </w:t>
      </w:r>
      <w:r w:rsidR="00627667" w:rsidRPr="00F6704A">
        <w:rPr>
          <w:color w:val="000000" w:themeColor="text1"/>
        </w:rPr>
        <w:t xml:space="preserve">nõustamisteenuse osutamise </w:t>
      </w:r>
      <w:r w:rsidR="00627667">
        <w:rPr>
          <w:color w:val="000000" w:themeColor="text1"/>
        </w:rPr>
        <w:t>aja, koha,</w:t>
      </w:r>
      <w:r w:rsidR="00627667" w:rsidRPr="00F6704A">
        <w:rPr>
          <w:color w:val="000000" w:themeColor="text1"/>
        </w:rPr>
        <w:t xml:space="preserve"> nõustamisteema</w:t>
      </w:r>
      <w:r w:rsidR="00627667">
        <w:rPr>
          <w:color w:val="000000" w:themeColor="text1"/>
        </w:rPr>
        <w:t>, nõustatavale välja pakutud lahenduse ja mesiniku juures kohapeal nõustamisteenuse osutamise korral isikliku sõiduauto kasutamise kohta</w:t>
      </w:r>
      <w:r w:rsidR="00627667" w:rsidRPr="00F6704A">
        <w:rPr>
          <w:color w:val="000000" w:themeColor="text1"/>
        </w:rPr>
        <w:t xml:space="preserve"> </w:t>
      </w:r>
      <w:r w:rsidR="00627667">
        <w:rPr>
          <w:color w:val="000000" w:themeColor="text1"/>
        </w:rPr>
        <w:t xml:space="preserve">peetava arvestuse koond; </w:t>
      </w:r>
    </w:p>
    <w:p w14:paraId="03813769" w14:textId="77777777" w:rsidR="00095D1C" w:rsidRDefault="00095D1C" w:rsidP="00495BC6">
      <w:pPr>
        <w:jc w:val="both"/>
      </w:pPr>
      <w:r>
        <w:rPr>
          <w:color w:val="000000" w:themeColor="text1"/>
        </w:rPr>
        <w:t xml:space="preserve">13) </w:t>
      </w:r>
      <w:r w:rsidR="00EE3BC6">
        <w:t xml:space="preserve">ühikuhinnast kõrgema lektori tasu maksmiseks argumenteeritud põhjendus selle taotlemise kohta; </w:t>
      </w:r>
    </w:p>
    <w:p w14:paraId="55CB76DB" w14:textId="77777777" w:rsidR="00095D1C" w:rsidRDefault="00095D1C" w:rsidP="00495BC6">
      <w:pPr>
        <w:jc w:val="both"/>
        <w:rPr>
          <w:color w:val="000000" w:themeColor="text1"/>
        </w:rPr>
      </w:pPr>
      <w:r>
        <w:t xml:space="preserve">14) </w:t>
      </w:r>
      <w:r w:rsidR="00F56198" w:rsidRPr="00F6704A">
        <w:rPr>
          <w:color w:val="000000" w:themeColor="text1"/>
        </w:rPr>
        <w:t>varroatoosi ja muu</w:t>
      </w:r>
      <w:r w:rsidR="00EE3BC6">
        <w:rPr>
          <w:color w:val="000000" w:themeColor="text1"/>
        </w:rPr>
        <w:t>de mesilashaiguste seire</w:t>
      </w:r>
      <w:r w:rsidR="00F56198" w:rsidRPr="00F6704A">
        <w:rPr>
          <w:color w:val="000000" w:themeColor="text1"/>
        </w:rPr>
        <w:t>, ennetamise ja</w:t>
      </w:r>
      <w:r w:rsidR="00F56198">
        <w:rPr>
          <w:color w:val="000000" w:themeColor="text1"/>
        </w:rPr>
        <w:t xml:space="preserve"> tõrje </w:t>
      </w:r>
      <w:r w:rsidR="0004390E">
        <w:rPr>
          <w:color w:val="000000" w:themeColor="text1"/>
        </w:rPr>
        <w:t xml:space="preserve">ning kahjurite tõrje </w:t>
      </w:r>
      <w:r w:rsidR="00F56198">
        <w:rPr>
          <w:color w:val="000000" w:themeColor="text1"/>
        </w:rPr>
        <w:t>vahendi ostukulu kompenseerimise taotlemiseks mesinduskogu poolt peetava</w:t>
      </w:r>
      <w:r w:rsidR="00F56198" w:rsidRPr="00F6704A">
        <w:rPr>
          <w:color w:val="000000" w:themeColor="text1"/>
        </w:rPr>
        <w:t xml:space="preserve"> </w:t>
      </w:r>
      <w:r w:rsidR="00387B1E">
        <w:rPr>
          <w:color w:val="000000" w:themeColor="text1"/>
        </w:rPr>
        <w:t xml:space="preserve">arvestuse koond, mis sisaldab </w:t>
      </w:r>
      <w:r w:rsidR="00387B1E" w:rsidRPr="00387B1E">
        <w:rPr>
          <w:color w:val="000000" w:themeColor="text1"/>
        </w:rPr>
        <w:t>mesinduskogult kompenseeritava vahendi saanud mesiniku nime ja tema mesilasperede arvu, kompenseeritava vahendi nimetust, kogust ja mesinikule andmise aega</w:t>
      </w:r>
      <w:r w:rsidR="00F56198">
        <w:rPr>
          <w:color w:val="000000" w:themeColor="text1"/>
        </w:rPr>
        <w:t xml:space="preserve">; </w:t>
      </w:r>
    </w:p>
    <w:p w14:paraId="36055C06" w14:textId="756B5D93" w:rsidR="00627667" w:rsidRDefault="00095D1C" w:rsidP="00495BC6">
      <w:pPr>
        <w:jc w:val="both"/>
      </w:pPr>
      <w:r>
        <w:rPr>
          <w:color w:val="000000" w:themeColor="text1"/>
        </w:rPr>
        <w:lastRenderedPageBreak/>
        <w:t xml:space="preserve">15) </w:t>
      </w:r>
      <w:r w:rsidR="00CB5912" w:rsidRPr="003A7AF5">
        <w:t xml:space="preserve">kasutatud </w:t>
      </w:r>
      <w:r w:rsidR="00CB5912">
        <w:t>materiaalse vara</w:t>
      </w:r>
      <w:r w:rsidR="00CB5912" w:rsidRPr="003A7AF5">
        <w:t xml:space="preserve"> ostmise korral müüja dokumendid, mis tõendavad, et </w:t>
      </w:r>
      <w:r w:rsidR="00CB5912">
        <w:t>vara</w:t>
      </w:r>
      <w:r w:rsidR="00CB5912" w:rsidRPr="003A7AF5">
        <w:t xml:space="preserve"> ostmiseks ei ole </w:t>
      </w:r>
      <w:r w:rsidR="00CB5912">
        <w:t xml:space="preserve">eelneva viie aasta eest </w:t>
      </w:r>
      <w:r w:rsidR="00CB5912" w:rsidRPr="003A7AF5">
        <w:t>saadud toetust riigieelarvelistest või muudest Euroopa Liidu või välisvahenditest või m</w:t>
      </w:r>
      <w:r w:rsidR="00CB5912">
        <w:t>uud tagastamatut riigiabi</w:t>
      </w:r>
      <w:r w:rsidR="00F56198">
        <w:t>.</w:t>
      </w:r>
    </w:p>
    <w:p w14:paraId="6D98E5A0" w14:textId="77777777" w:rsidR="006B5024" w:rsidRDefault="006B5024" w:rsidP="00DE0B52">
      <w:pPr>
        <w:jc w:val="both"/>
      </w:pPr>
    </w:p>
    <w:p w14:paraId="0B047F77" w14:textId="746F4FA5" w:rsidR="00385309" w:rsidRDefault="00EE5F7A" w:rsidP="00DE0B52">
      <w:pPr>
        <w:jc w:val="both"/>
      </w:pPr>
      <w:r>
        <w:t>Lõikes 3 loetletakse koos maksetaotlusega esitatavad t</w:t>
      </w:r>
      <w:r w:rsidRPr="00385309">
        <w:t>eabe- ja õppepäeva ning kursuse toimumist tõendavad dokumendid</w:t>
      </w:r>
      <w:r>
        <w:t>. Sellisteks dokumentideks</w:t>
      </w:r>
      <w:r w:rsidR="00385309">
        <w:t xml:space="preserve"> </w:t>
      </w:r>
      <w:r w:rsidR="00385309" w:rsidRPr="00385309">
        <w:t xml:space="preserve">on </w:t>
      </w:r>
      <w:r>
        <w:t>toimunud t</w:t>
      </w:r>
      <w:r w:rsidRPr="00385309">
        <w:t xml:space="preserve">eabe- ja õppepäeva ning kursuse </w:t>
      </w:r>
      <w:r w:rsidR="00385309" w:rsidRPr="00385309">
        <w:t>päevakava ja osalejate nimekiri</w:t>
      </w:r>
      <w:r w:rsidR="00385309">
        <w:t>. Osalejate nimekirja puhul peavad sellel</w:t>
      </w:r>
      <w:r w:rsidR="00385309" w:rsidRPr="00385309">
        <w:t xml:space="preserve"> märgitud </w:t>
      </w:r>
      <w:r w:rsidR="00385309">
        <w:t xml:space="preserve">olema </w:t>
      </w:r>
      <w:r w:rsidR="00385309" w:rsidRPr="00385309">
        <w:t>osalejate kontaktandmed ja nende allkirjad.</w:t>
      </w:r>
      <w:r w:rsidR="00385309">
        <w:t xml:space="preserve"> V</w:t>
      </w:r>
      <w:r w:rsidR="00385309" w:rsidRPr="00385309">
        <w:t>eebis toimunud teabe- ja õppepäeva ning kursuse puhul tuleb tõendusdokumentidena esitada taotleja poolt digitaalselt allkirjastatud osalejate nimekiri koos sisselogimise aegadega – võimalusel ka väljalogim</w:t>
      </w:r>
      <w:r w:rsidR="00385309">
        <w:t>ise aegadega – ning päevakava. T</w:t>
      </w:r>
      <w:r w:rsidR="00385309" w:rsidRPr="00385309">
        <w:t>õendusmaterjalina võib lisaks esitada ka koolitusprogrammi logi, ekr</w:t>
      </w:r>
      <w:r w:rsidR="00385309">
        <w:t>aani kuvatõmmised, pildid vms.</w:t>
      </w:r>
    </w:p>
    <w:p w14:paraId="36D9AF01" w14:textId="77777777" w:rsidR="00385309" w:rsidRDefault="00385309" w:rsidP="00DE0B52">
      <w:pPr>
        <w:jc w:val="both"/>
      </w:pPr>
    </w:p>
    <w:p w14:paraId="390462C9" w14:textId="0E706502" w:rsidR="00CD7B3C" w:rsidRPr="009D4D17" w:rsidRDefault="00EE5F7A" w:rsidP="00DE0B52">
      <w:pPr>
        <w:jc w:val="both"/>
      </w:pPr>
      <w:r>
        <w:t>Lõikega 4</w:t>
      </w:r>
      <w:r w:rsidR="00EB57CE">
        <w:t xml:space="preserve"> sätestatakse, et maksetaotluse koos tõendavate dokumentidega võib mesinduskogu esitada kuni kümnes osas ühe eelarveaasta kohta. </w:t>
      </w:r>
      <w:r w:rsidR="00DE0B52">
        <w:t>Vajadus toetuse sedavõrd paindliku</w:t>
      </w:r>
      <w:r w:rsidR="00967770">
        <w:t xml:space="preserve"> makse</w:t>
      </w:r>
      <w:r w:rsidR="00DE0B52">
        <w:t xml:space="preserve">võimaluse järele </w:t>
      </w:r>
      <w:r w:rsidR="00451EA6">
        <w:t xml:space="preserve">tuleneb Eestis tegutsevate mesindussektori isikute ühenduste väikesest finantsvõimekusest. </w:t>
      </w:r>
      <w:r w:rsidR="00907739">
        <w:t>Eelmisel EL-i eelarveperioodi</w:t>
      </w:r>
      <w:r w:rsidR="00907739" w:rsidRPr="001E3123">
        <w:t>l</w:t>
      </w:r>
      <w:r w:rsidR="00907739">
        <w:t xml:space="preserve"> </w:t>
      </w:r>
      <w:r w:rsidR="00907739" w:rsidRPr="001E3123">
        <w:t>mesindussektori</w:t>
      </w:r>
      <w:r w:rsidR="00B24457">
        <w:t>sse</w:t>
      </w:r>
      <w:r w:rsidR="00907739" w:rsidRPr="001E3123">
        <w:t xml:space="preserve"> sekkumisega samalaadse toetusmeetme</w:t>
      </w:r>
      <w:r w:rsidR="00907739">
        <w:t xml:space="preserve"> </w:t>
      </w:r>
      <w:r w:rsidR="00907739" w:rsidRPr="001E3123">
        <w:t>mesindusprogrammi</w:t>
      </w:r>
      <w:r w:rsidR="00907739">
        <w:t xml:space="preserve"> 2020</w:t>
      </w:r>
      <w:r w:rsidR="00703555">
        <w:t>–</w:t>
      </w:r>
      <w:r w:rsidR="00907739">
        <w:t xml:space="preserve">2022 raames oli võimalus </w:t>
      </w:r>
      <w:r w:rsidR="009C545B">
        <w:t xml:space="preserve">maksetaotlus </w:t>
      </w:r>
      <w:r w:rsidR="00907739">
        <w:t>esitada i</w:t>
      </w:r>
      <w:r w:rsidR="00967770">
        <w:t>gakuise</w:t>
      </w:r>
      <w:r w:rsidR="009C545B">
        <w:t>lt</w:t>
      </w:r>
      <w:r w:rsidR="00907739">
        <w:t xml:space="preserve">. </w:t>
      </w:r>
    </w:p>
    <w:p w14:paraId="65A1A9DA" w14:textId="77777777" w:rsidR="00DE0B52" w:rsidRDefault="00DE0B52" w:rsidP="00CD7B3C"/>
    <w:p w14:paraId="7CF75D25" w14:textId="41E33125" w:rsidR="000F3F62" w:rsidRDefault="000F3F62" w:rsidP="00203811">
      <w:pPr>
        <w:jc w:val="both"/>
      </w:pPr>
      <w:r w:rsidRPr="000F3F62">
        <w:rPr>
          <w:b/>
        </w:rPr>
        <w:t xml:space="preserve">Eelnõu §-ga </w:t>
      </w:r>
      <w:r w:rsidR="00703555">
        <w:rPr>
          <w:b/>
        </w:rPr>
        <w:t>20</w:t>
      </w:r>
      <w:r>
        <w:t xml:space="preserve"> sätestatakse</w:t>
      </w:r>
      <w:r w:rsidR="00FC16DD">
        <w:t xml:space="preserve"> toetuse maksmine ja toetuse maksmisest keeldumine</w:t>
      </w:r>
      <w:r w:rsidR="00703555">
        <w:t>.</w:t>
      </w:r>
    </w:p>
    <w:p w14:paraId="6B440815" w14:textId="2BF70571" w:rsidR="00FC16DD" w:rsidRDefault="00FC16DD" w:rsidP="00203811">
      <w:pPr>
        <w:jc w:val="both"/>
      </w:pPr>
    </w:p>
    <w:p w14:paraId="3E98849C" w14:textId="41C31B91" w:rsidR="00FC16DD" w:rsidRDefault="00FC16DD" w:rsidP="00203811">
      <w:pPr>
        <w:jc w:val="both"/>
      </w:pPr>
      <w:r>
        <w:t xml:space="preserve">Lõikega 1 </w:t>
      </w:r>
      <w:r w:rsidR="002907DF">
        <w:t xml:space="preserve">sätestatakse </w:t>
      </w:r>
      <w:r w:rsidR="00614EFC">
        <w:t xml:space="preserve">maksetaotlustes ja kulusid tõendavates </w:t>
      </w:r>
      <w:r w:rsidR="002907DF">
        <w:t>dokumentides esitatu õigsuse ning tegevuskavale vastavuse ning mesinduskogu tegevuse EL asjakohastele õigusaktidele, ELÜPS-le ja selle alusel kehtestatud</w:t>
      </w:r>
      <w:r w:rsidR="0048398A">
        <w:t xml:space="preserve"> õigusaktidele</w:t>
      </w:r>
      <w:r w:rsidR="002907DF">
        <w:t xml:space="preserve"> ja tegevuskavale vastavuse kontrollimine PRIA poolt.</w:t>
      </w:r>
    </w:p>
    <w:p w14:paraId="3940E00E" w14:textId="08E03C27" w:rsidR="002907DF" w:rsidRDefault="002907DF" w:rsidP="00203811">
      <w:pPr>
        <w:jc w:val="both"/>
      </w:pPr>
    </w:p>
    <w:p w14:paraId="1D704716" w14:textId="5639F369" w:rsidR="002907DF" w:rsidRDefault="002907DF" w:rsidP="00203811">
      <w:pPr>
        <w:jc w:val="both"/>
      </w:pPr>
      <w:r>
        <w:t xml:space="preserve">Lõike 2 kohaselt teeb PRIA peale maksetaotluse ja kulusid tõendavate dokumentide kontrollimist ning kulude abikõlblikkuse </w:t>
      </w:r>
      <w:r w:rsidR="00231E0F">
        <w:t>selgumist</w:t>
      </w:r>
      <w:r w:rsidRPr="00446381">
        <w:t xml:space="preserve"> toetuse maksmise otsuse sellise aja jooksul, et toetusraha oleks võimalik kanda mesin</w:t>
      </w:r>
      <w:r>
        <w:t xml:space="preserve">duskogu </w:t>
      </w:r>
      <w:r w:rsidRPr="002907DF">
        <w:t>arvelduskontole 30 tööpä</w:t>
      </w:r>
      <w:r w:rsidRPr="00446381">
        <w:t>eva jooksul arvates maksetaotluse ja kulusid tõendavate dokumentide esitamisest.</w:t>
      </w:r>
    </w:p>
    <w:p w14:paraId="083BD8DE" w14:textId="7AFB6854" w:rsidR="00231E0F" w:rsidRDefault="00231E0F" w:rsidP="00203811">
      <w:pPr>
        <w:jc w:val="both"/>
      </w:pPr>
    </w:p>
    <w:p w14:paraId="19DE5AC0" w14:textId="52A8472B" w:rsidR="00231E0F" w:rsidRDefault="00C36D0F" w:rsidP="00203811">
      <w:pPr>
        <w:jc w:val="both"/>
      </w:pPr>
      <w:r>
        <w:t xml:space="preserve">Lõikes 3 käsitletakse toetuse maksmisest keeldumist. PRIA teeb toetuse maksmisest keeldumise otsuse ELÜPS </w:t>
      </w:r>
      <w:r w:rsidRPr="0079482D">
        <w:t>§ 13 lõikes 3</w:t>
      </w:r>
      <w:r>
        <w:t xml:space="preserve"> ja § 20 lõikes 3 sätestatud </w:t>
      </w:r>
      <w:r w:rsidRPr="00C36D0F">
        <w:t>juhtudel 25 t</w:t>
      </w:r>
      <w:r>
        <w:t>ööpäeva jooksul toetuse maksmisest keeldumise aluseks olevast asjaolust teadasaamisest arvates. ELÜPS § 13 lõike 3 kohaselt teeb PRIA toetuse maksmisest keeldumise otsuse, kui pärast taotluse rahuldamist (mesindussektori</w:t>
      </w:r>
      <w:r w:rsidR="00B24457">
        <w:t>sse</w:t>
      </w:r>
      <w:r>
        <w:t xml:space="preserve"> sekkumise toetuse puhul pärast mesinduskogu esitatud tege</w:t>
      </w:r>
      <w:r w:rsidR="004224C2">
        <w:t>vuskava heakskiitmist</w:t>
      </w:r>
      <w:r>
        <w:t xml:space="preserve">), kui enne toetuse maksmist </w:t>
      </w:r>
      <w:r w:rsidR="004224C2">
        <w:t xml:space="preserve">tehakse kindlaks taotluse rahuldamata jätmise alused või kui toetuse saaja ei ole täitnud toetuse saaja kohustusi. </w:t>
      </w:r>
      <w:r w:rsidR="008B27AB">
        <w:t>ELÜPS §</w:t>
      </w:r>
      <w:r w:rsidR="004224C2">
        <w:t xml:space="preserve"> 20 lõike 3 kohaselt aga teeb PRIA toetuse maksmisest keeldumise otsuse, kui tegevuskava rakendamine on tegevusaruande heaks kiitmata jätmise tõttu peatatud.</w:t>
      </w:r>
    </w:p>
    <w:p w14:paraId="1D6F0A7D" w14:textId="47F22E68" w:rsidR="004224C2" w:rsidRDefault="004224C2" w:rsidP="00203811">
      <w:pPr>
        <w:jc w:val="both"/>
      </w:pPr>
    </w:p>
    <w:p w14:paraId="30EB332F" w14:textId="21F90FE0" w:rsidR="004224C2" w:rsidRDefault="004224C2" w:rsidP="00203811">
      <w:pPr>
        <w:jc w:val="both"/>
      </w:pPr>
      <w:r>
        <w:t>Lõikega 4 sätestatakse, et t</w:t>
      </w:r>
      <w:r w:rsidRPr="00446381">
        <w:t>oetuse maksmisest keeldumise otsuse korral võib PRIA teha tegevuskava heakskiit</w:t>
      </w:r>
      <w:r>
        <w:t>mise otsuse muutmise otsuse</w:t>
      </w:r>
      <w:r w:rsidRPr="00446381">
        <w:t>.</w:t>
      </w:r>
      <w:r>
        <w:t xml:space="preserve"> </w:t>
      </w:r>
      <w:r w:rsidR="009A2D6D">
        <w:t xml:space="preserve">Näiteks võib PRIA teha tegevuskava heakskiitmise otsuse muutmise otsuse nende tegevuskavas ettenähtud tegevuste osas, </w:t>
      </w:r>
      <w:r w:rsidR="00E276E5">
        <w:t xml:space="preserve">millede puhul põhjustas </w:t>
      </w:r>
      <w:r w:rsidR="009A2D6D">
        <w:t xml:space="preserve">toetuse maksmisest </w:t>
      </w:r>
      <w:r w:rsidR="00E276E5">
        <w:t xml:space="preserve">keeldumise otsuse tegemise mesinduskogu </w:t>
      </w:r>
      <w:r w:rsidR="00D91160">
        <w:t xml:space="preserve">tegevuse </w:t>
      </w:r>
      <w:r w:rsidR="00E276E5">
        <w:t>tahtlik</w:t>
      </w:r>
      <w:r w:rsidR="00D91160">
        <w:t xml:space="preserve">, </w:t>
      </w:r>
      <w:r w:rsidR="00E276E5">
        <w:t>korduv</w:t>
      </w:r>
      <w:r w:rsidR="009A2D6D">
        <w:t xml:space="preserve"> </w:t>
      </w:r>
      <w:r w:rsidR="00D91160">
        <w:t>või</w:t>
      </w:r>
      <w:r w:rsidR="00E276E5">
        <w:t xml:space="preserve"> olulisel määral nõuetele vastavuse rikkumine.</w:t>
      </w:r>
    </w:p>
    <w:p w14:paraId="38BD45A9" w14:textId="77777777" w:rsidR="000F3F62" w:rsidRDefault="000F3F62" w:rsidP="00203811">
      <w:pPr>
        <w:jc w:val="both"/>
      </w:pPr>
    </w:p>
    <w:p w14:paraId="0F890BD4" w14:textId="03CA8810" w:rsidR="007C270A" w:rsidRDefault="000F3F62" w:rsidP="00203811">
      <w:pPr>
        <w:jc w:val="both"/>
      </w:pPr>
      <w:r w:rsidRPr="000F3F62">
        <w:rPr>
          <w:b/>
        </w:rPr>
        <w:t xml:space="preserve">Eelnõu §-ga </w:t>
      </w:r>
      <w:r w:rsidR="00703555">
        <w:rPr>
          <w:b/>
        </w:rPr>
        <w:t>2</w:t>
      </w:r>
      <w:r w:rsidRPr="000F3F62">
        <w:rPr>
          <w:b/>
        </w:rPr>
        <w:t>1</w:t>
      </w:r>
      <w:r>
        <w:t xml:space="preserve"> sätestatakse</w:t>
      </w:r>
      <w:r w:rsidR="000A5348">
        <w:t xml:space="preserve"> ettemaksu maksmise kord.</w:t>
      </w:r>
      <w:r w:rsidR="007C270A" w:rsidRPr="007C270A">
        <w:t xml:space="preserve"> </w:t>
      </w:r>
      <w:r w:rsidR="00AA00C2">
        <w:t xml:space="preserve">Ettemaksu taotlemine enne tegevuskavas </w:t>
      </w:r>
      <w:r w:rsidR="00FE5605">
        <w:t>ette</w:t>
      </w:r>
      <w:r w:rsidR="00AA00C2">
        <w:t>nähtud tegevuste t</w:t>
      </w:r>
      <w:r w:rsidR="00375C64">
        <w:t>eostamist on uus võimalus, mida mesindusprogrammide rakendamist</w:t>
      </w:r>
      <w:r w:rsidR="00CE56EF">
        <w:t xml:space="preserve"> reguleerivad</w:t>
      </w:r>
      <w:r w:rsidR="00AA00C2">
        <w:t xml:space="preserve"> </w:t>
      </w:r>
      <w:r w:rsidR="00CE56EF">
        <w:t>EL õigusaktid ei sisaldanud.</w:t>
      </w:r>
      <w:r w:rsidR="00AA00C2">
        <w:t xml:space="preserve">   </w:t>
      </w:r>
    </w:p>
    <w:p w14:paraId="29E9A1C6" w14:textId="77777777" w:rsidR="007C270A" w:rsidRDefault="007C270A" w:rsidP="00203811">
      <w:pPr>
        <w:jc w:val="both"/>
      </w:pPr>
    </w:p>
    <w:p w14:paraId="0D4F792D" w14:textId="3AB75E38" w:rsidR="007C270A" w:rsidRDefault="00D639FF" w:rsidP="00203811">
      <w:pPr>
        <w:jc w:val="both"/>
      </w:pPr>
      <w:r>
        <w:t xml:space="preserve">Lõikes 1 käsitletakse ettemaksu taotluse esitamist. </w:t>
      </w:r>
      <w:r w:rsidR="00912A98">
        <w:t>Üldreeglina makstakse toetus välja</w:t>
      </w:r>
      <w:r w:rsidR="007C270A" w:rsidRPr="007C270A">
        <w:t xml:space="preserve"> alles</w:t>
      </w:r>
      <w:r w:rsidR="007C270A">
        <w:t xml:space="preserve"> siis, kui</w:t>
      </w:r>
      <w:r w:rsidR="007C270A" w:rsidRPr="007C270A">
        <w:t xml:space="preserve"> </w:t>
      </w:r>
      <w:r w:rsidR="007C270A">
        <w:t xml:space="preserve">tegevuskavas </w:t>
      </w:r>
      <w:r>
        <w:t>ettenähtud tegevus on toimunud</w:t>
      </w:r>
      <w:r w:rsidR="007C270A" w:rsidRPr="007C270A">
        <w:t xml:space="preserve"> ja vastav</w:t>
      </w:r>
      <w:r w:rsidR="007C270A">
        <w:t>ate kulude eest on juba tasutud.</w:t>
      </w:r>
      <w:r w:rsidR="007C270A" w:rsidRPr="007C270A">
        <w:t xml:space="preserve"> </w:t>
      </w:r>
      <w:r w:rsidR="007C270A">
        <w:t xml:space="preserve">Kuna aga mesinduskogu ja selle liikmete ning partnerite võimalused </w:t>
      </w:r>
      <w:r w:rsidR="00305E14">
        <w:t xml:space="preserve">kõikide </w:t>
      </w:r>
      <w:r w:rsidR="007C270A">
        <w:t>tegevuste</w:t>
      </w:r>
      <w:r w:rsidR="007C270A" w:rsidRPr="007C270A">
        <w:t xml:space="preserve"> elluviimiseks vahendite leidmiseks</w:t>
      </w:r>
      <w:r w:rsidR="009A1E01">
        <w:t xml:space="preserve"> on</w:t>
      </w:r>
      <w:r w:rsidR="007C270A">
        <w:t xml:space="preserve"> </w:t>
      </w:r>
      <w:r w:rsidR="007C270A" w:rsidRPr="007C270A">
        <w:t>piiratud</w:t>
      </w:r>
      <w:r w:rsidR="001A2B36">
        <w:t xml:space="preserve"> ja see</w:t>
      </w:r>
      <w:r w:rsidR="00912A98">
        <w:t xml:space="preserve"> võiks</w:t>
      </w:r>
      <w:r>
        <w:t xml:space="preserve"> tegevuskava eduka rakendamise ohtu</w:t>
      </w:r>
      <w:r w:rsidR="00912A98">
        <w:t xml:space="preserve"> seada</w:t>
      </w:r>
      <w:r w:rsidR="007C270A">
        <w:t xml:space="preserve">, </w:t>
      </w:r>
      <w:r>
        <w:t xml:space="preserve">siis </w:t>
      </w:r>
      <w:r>
        <w:lastRenderedPageBreak/>
        <w:t>antakse mesinduskogule võimalus rahastada tegevust ka enne töö, teenuse või vara soetamise eest tasumist</w:t>
      </w:r>
      <w:r w:rsidR="007C270A" w:rsidRPr="007C270A">
        <w:t xml:space="preserve">. </w:t>
      </w:r>
      <w:r w:rsidR="001A2B36">
        <w:t>Selline võimalus tuleneb</w:t>
      </w:r>
      <w:r w:rsidR="001A2B36" w:rsidRPr="001A2B36">
        <w:t xml:space="preserve"> </w:t>
      </w:r>
      <w:r w:rsidR="001A2B36">
        <w:t xml:space="preserve">Euroopa Parlamendi ja nõukogu </w:t>
      </w:r>
      <w:r w:rsidR="000151DA">
        <w:t>määruse (EÜ) 2021/2116 artikli 44 lõikest 3a</w:t>
      </w:r>
      <w:r w:rsidR="001A2B36">
        <w:t>, mille kohaselt võivad liikmesriigid sektoripõhiste sekkumiste, sealhulgas mesindussektori</w:t>
      </w:r>
      <w:r w:rsidR="00B24457">
        <w:t>sse</w:t>
      </w:r>
      <w:r w:rsidR="001A2B36">
        <w:t xml:space="preserve"> sekkumise, puhul komisjoni delegeeritud määrusega kehtestatud tingimusi täites maksta toetusesaajatele toetust ettemaksu korras. </w:t>
      </w:r>
      <w:r w:rsidR="00833315">
        <w:t>K</w:t>
      </w:r>
      <w:r w:rsidR="00833315" w:rsidRPr="00833315">
        <w:t xml:space="preserve">omisjoni delegeeritud määruse </w:t>
      </w:r>
      <w:r w:rsidR="00912A98">
        <w:t>(EÜ) 2022/127</w:t>
      </w:r>
      <w:r w:rsidR="00FD3D14">
        <w:t xml:space="preserve">, </w:t>
      </w:r>
      <w:r w:rsidR="00FD3D14" w:rsidRPr="00FD3D14">
        <w:t>millega täiendatakse Euroopa Parlamendi ja nõukogu määrust (EL) 2021/2116 makse- ja muid asutusi, finantsjuhtimist, raamatupidamisarvestuse kontrollimist ja heakskiitmist, tagatisi ja euro kasutamist käsitlevate eeskirjadega</w:t>
      </w:r>
      <w:r w:rsidR="00FD3D14">
        <w:t xml:space="preserve"> (ELT L 20, 31.01.2022</w:t>
      </w:r>
      <w:r w:rsidR="00774D52">
        <w:t>,</w:t>
      </w:r>
      <w:r w:rsidR="00FD3D14">
        <w:t xml:space="preserve"> lk 95–130),</w:t>
      </w:r>
      <w:r w:rsidR="00912A98">
        <w:t xml:space="preserve"> artikli 15a lõike 1 kohaselt ei tohi ettemaksu suurus ületada 80% prognoositavast kulutuste üldsummast ning lõike 2 kohaselt on ettemaksu saamise eelduseks tagatise, mis moodustab 110% ettemaksu suurusest, esitamine.</w:t>
      </w:r>
      <w:r w:rsidR="001A2B36">
        <w:t xml:space="preserve"> </w:t>
      </w:r>
      <w:r w:rsidR="00912A98">
        <w:t>Et PRIA-le</w:t>
      </w:r>
      <w:r w:rsidR="00912A98" w:rsidRPr="00BB3625">
        <w:t xml:space="preserve"> </w:t>
      </w:r>
      <w:r w:rsidR="00912A98">
        <w:t>ettemakse taotluse</w:t>
      </w:r>
      <w:r w:rsidR="001A2B36" w:rsidRPr="00BB3625">
        <w:t xml:space="preserve"> </w:t>
      </w:r>
      <w:r w:rsidR="00912A98">
        <w:t>esitamine on vabatahtlik, siis ei määrata taotlemiseks kindlat perioodi. Ettemaksu taotlemise ajastamisel tuleb siiski arvestada, et mesindussekto</w:t>
      </w:r>
      <w:r w:rsidR="0091792C">
        <w:t>ri</w:t>
      </w:r>
      <w:r w:rsidR="00B24457">
        <w:t>sse</w:t>
      </w:r>
      <w:r w:rsidR="0091792C">
        <w:t xml:space="preserve"> sekkumise meetme finantseerimine</w:t>
      </w:r>
      <w:r w:rsidR="00912A98">
        <w:t xml:space="preserve"> toimub eelarveaasta põhiselt ning jooksval eelarveaastal saadava ettemaksu tasaarveldamiseks tuleb esitada PRIA-le </w:t>
      </w:r>
      <w:r w:rsidR="00A337BE">
        <w:t xml:space="preserve">elektrooniliselt PRIA e-teenuse keskkonna kaudu </w:t>
      </w:r>
      <w:r w:rsidR="00912A98">
        <w:t>maksetaotlus hiljemalt jooksva eelarveaasta 1. septembriks.</w:t>
      </w:r>
    </w:p>
    <w:p w14:paraId="0FEE7F86" w14:textId="77777777" w:rsidR="007C270A" w:rsidRDefault="007C270A" w:rsidP="00203811">
      <w:pPr>
        <w:jc w:val="both"/>
      </w:pPr>
    </w:p>
    <w:p w14:paraId="4753E98A" w14:textId="1C04C1FE" w:rsidR="00413196" w:rsidRDefault="00912A98" w:rsidP="00203811">
      <w:pPr>
        <w:jc w:val="both"/>
      </w:pPr>
      <w:r>
        <w:t xml:space="preserve">Lõikes 2 täpsustatakse, et </w:t>
      </w:r>
      <w:r w:rsidR="00413196">
        <w:t xml:space="preserve">ettemaksu saamiseks PRIA-le </w:t>
      </w:r>
      <w:r>
        <w:t>esitatav</w:t>
      </w:r>
      <w:r w:rsidR="00413196">
        <w:t>aks</w:t>
      </w:r>
      <w:r>
        <w:t xml:space="preserve"> ta</w:t>
      </w:r>
      <w:r w:rsidR="00413196">
        <w:t>gatiseks</w:t>
      </w:r>
      <w:r w:rsidR="0091792C">
        <w:t xml:space="preserve"> on</w:t>
      </w:r>
      <w:r>
        <w:t xml:space="preserve"> </w:t>
      </w:r>
      <w:r w:rsidR="000F6325" w:rsidRPr="000C7271">
        <w:t>krediidiasutuste seaduse alusel ja korras tegutsev</w:t>
      </w:r>
      <w:r w:rsidR="000F6325">
        <w:t>a</w:t>
      </w:r>
      <w:r w:rsidR="000F6325" w:rsidRPr="000C7271">
        <w:t xml:space="preserve"> krediidiasutuse</w:t>
      </w:r>
      <w:r w:rsidR="000F6325">
        <w:t xml:space="preserve"> või tema konsolideerimisgruppi kuuluva finantseerimisasutuse </w:t>
      </w:r>
      <w:r w:rsidR="00C058E0">
        <w:t xml:space="preserve">või </w:t>
      </w:r>
      <w:r w:rsidR="00C058E0" w:rsidRPr="00C058E0">
        <w:t>maapiirkonna ettevõtluse toetamiseks asutatud riigi sihtasutus</w:t>
      </w:r>
      <w:r w:rsidR="00C058E0">
        <w:t>e</w:t>
      </w:r>
      <w:r w:rsidR="00C058E0" w:rsidRPr="00C058E0">
        <w:t xml:space="preserve"> </w:t>
      </w:r>
      <w:r>
        <w:t>garantii.</w:t>
      </w:r>
      <w:r w:rsidR="0091792C">
        <w:t xml:space="preserve"> </w:t>
      </w:r>
      <w:r w:rsidR="00413196">
        <w:t>K</w:t>
      </w:r>
      <w:r w:rsidR="00413196" w:rsidRPr="00833315">
        <w:t xml:space="preserve">omisjoni delegeeritud määruse </w:t>
      </w:r>
      <w:r w:rsidR="00413196">
        <w:t xml:space="preserve">(EÜ) 2022/127 artikli 22 lõike 1 kohaselt peab tagatise andja olema </w:t>
      </w:r>
      <w:r w:rsidR="00413196">
        <w:rPr>
          <w:rFonts w:ascii="inherit" w:hAnsi="inherit"/>
          <w:color w:val="000000"/>
        </w:rPr>
        <w:t xml:space="preserve">ametlikult registreeritud resident või tal peab olema registreeritud asukoht liidus ning liikmesriigi pädev asutus peab olema talle andnud tegevusloa. </w:t>
      </w:r>
      <w:r w:rsidR="00C058E0">
        <w:t>P</w:t>
      </w:r>
      <w:r w:rsidR="00C058E0" w:rsidRPr="0091792C">
        <w:t>ankad</w:t>
      </w:r>
      <w:r w:rsidR="00C058E0">
        <w:t>e ja krediidiandjate garantiide puhul</w:t>
      </w:r>
      <w:r w:rsidR="00C058E0" w:rsidRPr="0091792C">
        <w:t xml:space="preserve"> </w:t>
      </w:r>
      <w:r w:rsidR="0091792C" w:rsidRPr="0091792C">
        <w:t xml:space="preserve">aktsepteerib </w:t>
      </w:r>
      <w:r w:rsidR="00C058E0" w:rsidRPr="0091792C">
        <w:t xml:space="preserve">PRIA </w:t>
      </w:r>
      <w:r w:rsidR="0091792C" w:rsidRPr="0091792C">
        <w:t>Finantsinspektsiooni poolt väljaantud tegevusloa saanud pankade ja krediidiandjate garantiisid, kes on Finantsinspektsiooni kodulehel olevas avalikus nimekirjas ning kelle kohta ei ole avaldatud inspektsiooni kodulehel hoiatusteateid</w:t>
      </w:r>
      <w:r w:rsidR="0091792C">
        <w:t>.</w:t>
      </w:r>
      <w:r w:rsidR="00B23643">
        <w:t xml:space="preserve"> Garantii</w:t>
      </w:r>
      <w:r w:rsidR="00C8637E" w:rsidRPr="00C8637E">
        <w:t xml:space="preserve"> peab olema allkirjastatud finantsasutuse õigustatud/volitatud isiku poolt. Garantii loetakse esitatuks, kui sellel on olemas järgmine informatsio</w:t>
      </w:r>
      <w:r w:rsidR="00B23643">
        <w:t>on: mesinduskogu andmed</w:t>
      </w:r>
      <w:r w:rsidR="00C8637E" w:rsidRPr="00C8637E">
        <w:t>, garantii summa, garantii kehtivusaeg, garantii esitamise eesmärk.</w:t>
      </w:r>
    </w:p>
    <w:p w14:paraId="46C63F33" w14:textId="683D3C85" w:rsidR="00413196" w:rsidRDefault="00413196" w:rsidP="00203811">
      <w:pPr>
        <w:jc w:val="both"/>
      </w:pPr>
    </w:p>
    <w:p w14:paraId="04B46907" w14:textId="60DE32E8" w:rsidR="0091792C" w:rsidRDefault="009B0433" w:rsidP="00203811">
      <w:pPr>
        <w:jc w:val="both"/>
      </w:pPr>
      <w:r>
        <w:t xml:space="preserve">Lõikes 3 sätestatakse PRIA poolt mesinduskogu esitatud nõuetekohase toetuse ettemaksu taotluse alusel ja tagatise olemasolul toetuse ettemaksu maksmise otsuse tegemine sellise aja jooksul, et toetuse ettemaksu raha oleks võimalik kanda mesinduskogu </w:t>
      </w:r>
      <w:r w:rsidRPr="009B0433">
        <w:t>arvelduskontole 30</w:t>
      </w:r>
      <w:r>
        <w:t xml:space="preserve"> tööpäeva jooksul arvates toetuse ettemaksu </w:t>
      </w:r>
      <w:r w:rsidRPr="00446381">
        <w:t>taotluse j</w:t>
      </w:r>
      <w:r>
        <w:t>a tagatise</w:t>
      </w:r>
      <w:r w:rsidRPr="00446381">
        <w:t xml:space="preserve"> esitamisest.</w:t>
      </w:r>
    </w:p>
    <w:p w14:paraId="651CE6F9" w14:textId="6775D33B" w:rsidR="00912A98" w:rsidRDefault="00912A98" w:rsidP="00203811">
      <w:pPr>
        <w:jc w:val="both"/>
      </w:pPr>
    </w:p>
    <w:p w14:paraId="42904755" w14:textId="4965A666" w:rsidR="00912A98" w:rsidRDefault="00AD5F65" w:rsidP="00203811">
      <w:pPr>
        <w:jc w:val="both"/>
      </w:pPr>
      <w:r>
        <w:t>Lõikes 4 sätestatakse, et vastavalt käesoleva määruse §-s 1</w:t>
      </w:r>
      <w:r w:rsidR="000F6325">
        <w:t>9</w:t>
      </w:r>
      <w:r>
        <w:t xml:space="preserve"> sätestatud</w:t>
      </w:r>
      <w:r w:rsidRPr="00AD5F65">
        <w:t xml:space="preserve"> </w:t>
      </w:r>
      <w:r w:rsidR="00151DCE">
        <w:t>maksetaotluse ja</w:t>
      </w:r>
      <w:r>
        <w:t xml:space="preserve"> tõendavate dokumentide esitamisele tuleb esitada nõutud dokumendid ka ettemaksu ulatuses tehtud kulude kohta</w:t>
      </w:r>
      <w:r w:rsidR="00151DCE">
        <w:t xml:space="preserve"> ning t</w:t>
      </w:r>
      <w:r w:rsidR="00151DCE" w:rsidRPr="00151DCE">
        <w:t xml:space="preserve">eabe- ja õppepäeva </w:t>
      </w:r>
      <w:r w:rsidR="00151DCE">
        <w:t>ning kursuse toimumise kohta</w:t>
      </w:r>
      <w:r>
        <w:t xml:space="preserve">. Ettemaksu küsimine ei vabasta mesinduskogu kuludokumentide </w:t>
      </w:r>
      <w:r w:rsidR="00151DCE">
        <w:t>ning t</w:t>
      </w:r>
      <w:r w:rsidR="00151DCE" w:rsidRPr="00151DCE">
        <w:t xml:space="preserve">eabe- ja õppepäeva </w:t>
      </w:r>
      <w:r w:rsidR="00151DCE">
        <w:t>ning kursuse toimumist tõendavate dokumentide</w:t>
      </w:r>
      <w:r w:rsidR="00151DCE" w:rsidRPr="00151DCE">
        <w:t xml:space="preserve"> </w:t>
      </w:r>
      <w:r>
        <w:t>esitamisest ning ka kõik ettemaksu summast tehtavad kulutused tohivad olla tehtud ainult asjakohasel eelarveaastal tegevuskava rakendamisega seotud tegevuste elluviimiseks.</w:t>
      </w:r>
    </w:p>
    <w:p w14:paraId="00AF9E6A" w14:textId="77777777" w:rsidR="00912A98" w:rsidRDefault="00912A98" w:rsidP="00203811">
      <w:pPr>
        <w:jc w:val="both"/>
      </w:pPr>
    </w:p>
    <w:p w14:paraId="53E32941" w14:textId="2349CA75" w:rsidR="00F04990" w:rsidRDefault="00270442" w:rsidP="00270442">
      <w:pPr>
        <w:jc w:val="both"/>
      </w:pPr>
      <w:r>
        <w:t xml:space="preserve">Lõike 5 kohaselt arvestatakse </w:t>
      </w:r>
      <w:r w:rsidRPr="00BB3625">
        <w:t xml:space="preserve">makseotsuse alusel </w:t>
      </w:r>
      <w:r w:rsidR="00F04990">
        <w:t>makstavast summast tasaarvestuse</w:t>
      </w:r>
      <w:r w:rsidRPr="00BB3625">
        <w:t xml:space="preserve"> korras </w:t>
      </w:r>
      <w:r>
        <w:t>maha ettemaksuna mesinduskogule</w:t>
      </w:r>
      <w:r w:rsidRPr="00BB3625">
        <w:t xml:space="preserve"> makstud summa.</w:t>
      </w:r>
      <w:r>
        <w:t xml:space="preserve"> Mesinduskogu võib </w:t>
      </w:r>
      <w:r w:rsidR="00F04990">
        <w:t xml:space="preserve">määruse </w:t>
      </w:r>
      <w:r>
        <w:t>§ 1</w:t>
      </w:r>
      <w:r w:rsidR="000F6325">
        <w:t>9</w:t>
      </w:r>
      <w:r>
        <w:t xml:space="preserve"> kohaselt esitada PRIA-le </w:t>
      </w:r>
      <w:r w:rsidR="00F04990">
        <w:t>maksetaotluse</w:t>
      </w:r>
      <w:r>
        <w:t xml:space="preserve"> koos tõendavate dokumentidega kuni </w:t>
      </w:r>
      <w:r w:rsidR="00F04990">
        <w:t>kümnes osas eelarveaasta kohta ning PRIA teeb eraldi iga esitatava taotluse osa kohta toetuse maksmise või toetuse maksmisest keeldumise otsuse.</w:t>
      </w:r>
      <w:r>
        <w:t xml:space="preserve"> </w:t>
      </w:r>
      <w:r w:rsidR="00F04990">
        <w:t>Makseotsuste alusel maksmisele kuuluvad summad tasaarvestatakse jooksvalt ettemaksuna makstud summaga ning peale nende võrdsustumist makstakse ettemaksu summat ületav toetusesumma mesinduskogule välja.</w:t>
      </w:r>
    </w:p>
    <w:p w14:paraId="594F8B32" w14:textId="77777777" w:rsidR="00F04990" w:rsidRDefault="00F04990" w:rsidP="00F04990">
      <w:pPr>
        <w:jc w:val="both"/>
      </w:pPr>
    </w:p>
    <w:p w14:paraId="51AF2757" w14:textId="44F9D353" w:rsidR="00D2799C" w:rsidRDefault="00F04990" w:rsidP="00F04990">
      <w:pPr>
        <w:jc w:val="both"/>
      </w:pPr>
      <w:r>
        <w:t xml:space="preserve">Lõikes </w:t>
      </w:r>
      <w:r w:rsidR="000F6325">
        <w:t>6</w:t>
      </w:r>
      <w:r w:rsidR="00505049">
        <w:t xml:space="preserve"> käsitletakse ettemaksuga seotud tagatise vabastamist. K</w:t>
      </w:r>
      <w:r w:rsidR="00505049" w:rsidRPr="00505049">
        <w:t>omisjoni delegeeritu</w:t>
      </w:r>
      <w:r w:rsidR="00505049">
        <w:t>d määruse (EÜ) 2022/127 artikli</w:t>
      </w:r>
      <w:r w:rsidR="00505049" w:rsidRPr="00505049">
        <w:t xml:space="preserve"> 28 </w:t>
      </w:r>
      <w:r w:rsidR="00505049">
        <w:t xml:space="preserve">lõike 1 järgi vabastatakse tagatis järgmistel juhtudel: 1) ettemaksesumma saamise õigus on kindlaks tehtud; 2) ettemaksesumma ja liidu erieeskirjadega ettenähtud täiendavad summad on tagasi makstud. Esimesel juhul ettemaksusumma tagasisaamise õigus tekib, kui mesinduskogu esitatud maksetaotluste </w:t>
      </w:r>
      <w:r w:rsidR="0056138B">
        <w:t xml:space="preserve">ja tõendavate dokumentide </w:t>
      </w:r>
      <w:r w:rsidR="0056138B">
        <w:lastRenderedPageBreak/>
        <w:t>alusel PRIA poolt</w:t>
      </w:r>
      <w:r w:rsidR="00505049">
        <w:t xml:space="preserve"> makseots</w:t>
      </w:r>
      <w:r w:rsidR="0056138B">
        <w:t>ustega määratud</w:t>
      </w:r>
      <w:r w:rsidR="00505049">
        <w:t xml:space="preserve"> maksmisele kuuluv summa küündib ettemaksusummani. Teisel juhul </w:t>
      </w:r>
      <w:r w:rsidR="00573A79">
        <w:t xml:space="preserve">on tagatise vabastamise tingimuseks lihtsalt asjaolu, et mesinduskogu on ettemaksusumma ja võimalikud </w:t>
      </w:r>
      <w:r w:rsidR="0056138B">
        <w:t>täiendavad EL õigusest tulenevad</w:t>
      </w:r>
      <w:r w:rsidR="00573A79">
        <w:t xml:space="preserve"> ettemaksu saamisega seotud summad täies ulatuses PRIA-le tagasi maksnud. Sama artikli lõike 1a kohaselt lisatakse tagatise vabastamise taotlusele ettemaksusumma saamise õigust või ettemaksusumma ja muude kaasneda võivate </w:t>
      </w:r>
      <w:r w:rsidR="0056138B">
        <w:t xml:space="preserve">täiendavate </w:t>
      </w:r>
      <w:r w:rsidR="00573A79">
        <w:t>summade tagasimaksmist tõendavad dokumendid</w:t>
      </w:r>
      <w:r w:rsidR="0056138B">
        <w:t>. Eeltoodud nõuete täitmisel vabastab PRIA mesinduskogu esitatud vastava taotluse alusel tagatise 10 tööpäeva jooksul arvates tagatise vabastamise taotluse esitamisest.</w:t>
      </w:r>
    </w:p>
    <w:p w14:paraId="5811CB5E" w14:textId="77777777" w:rsidR="00D2799C" w:rsidRDefault="00D2799C" w:rsidP="00F04990">
      <w:pPr>
        <w:jc w:val="both"/>
      </w:pPr>
    </w:p>
    <w:p w14:paraId="7AB0A5E1" w14:textId="443F6977" w:rsidR="00F04990" w:rsidRDefault="00D2799C" w:rsidP="00F04990">
      <w:pPr>
        <w:jc w:val="both"/>
      </w:pPr>
      <w:r w:rsidRPr="00D2799C">
        <w:rPr>
          <w:b/>
        </w:rPr>
        <w:t>Eelnõu §-s 2</w:t>
      </w:r>
      <w:r w:rsidR="000F6325">
        <w:rPr>
          <w:b/>
        </w:rPr>
        <w:t>2</w:t>
      </w:r>
      <w:r>
        <w:t xml:space="preserve"> sätestatakse</w:t>
      </w:r>
      <w:r w:rsidR="000F6325" w:rsidRPr="000F6325">
        <w:t xml:space="preserve"> </w:t>
      </w:r>
      <w:r w:rsidR="000F6325">
        <w:t>t</w:t>
      </w:r>
      <w:r w:rsidR="000F6325" w:rsidRPr="000F6325">
        <w:t>oetuse saaja andmete avalikustamine</w:t>
      </w:r>
      <w:r>
        <w:t>.</w:t>
      </w:r>
      <w:r w:rsidR="0056138B">
        <w:t xml:space="preserve"> </w:t>
      </w:r>
      <w:r w:rsidR="00623020">
        <w:t>PRIA teavitab toetuse saajat ehk mesinduskogu tema andmete avalikustamisest ja töötlemisest Euroopa Parlamendi ja nõukogu määruse (EL) 2021/2116 artiklites 98 ja 99 sätestatud alustel ja korras.</w:t>
      </w:r>
      <w:r w:rsidR="0056138B">
        <w:t xml:space="preserve"> </w:t>
      </w:r>
      <w:r w:rsidR="00573A79">
        <w:t xml:space="preserve">   </w:t>
      </w:r>
      <w:r w:rsidR="00505049">
        <w:t xml:space="preserve">                                                                                            </w:t>
      </w:r>
    </w:p>
    <w:p w14:paraId="10029CDB" w14:textId="77777777" w:rsidR="007C270A" w:rsidRDefault="007C270A" w:rsidP="007C270A"/>
    <w:p w14:paraId="08D55743" w14:textId="4FBDCE26" w:rsidR="000F6325" w:rsidRDefault="000F3F62" w:rsidP="00203811">
      <w:pPr>
        <w:jc w:val="both"/>
      </w:pPr>
      <w:r w:rsidRPr="000F3F62">
        <w:rPr>
          <w:b/>
        </w:rPr>
        <w:t>Eelnõu §-ga 2</w:t>
      </w:r>
      <w:r w:rsidR="000F6325">
        <w:rPr>
          <w:b/>
        </w:rPr>
        <w:t>3</w:t>
      </w:r>
      <w:r>
        <w:t xml:space="preserve"> sätestatakse</w:t>
      </w:r>
      <w:r w:rsidR="009A03A5">
        <w:t xml:space="preserve"> </w:t>
      </w:r>
      <w:r w:rsidR="000F6325">
        <w:t>määruse rakendussätted.</w:t>
      </w:r>
    </w:p>
    <w:p w14:paraId="2AA3CDD6" w14:textId="77777777" w:rsidR="000F6325" w:rsidRDefault="000F6325" w:rsidP="00203811">
      <w:pPr>
        <w:jc w:val="both"/>
      </w:pPr>
    </w:p>
    <w:p w14:paraId="36A78C29" w14:textId="44CC86A0" w:rsidR="000F3F62" w:rsidRDefault="00623020" w:rsidP="00203811">
      <w:pPr>
        <w:jc w:val="both"/>
      </w:pPr>
      <w:r>
        <w:t xml:space="preserve">Lõikes 1 sätestatakse </w:t>
      </w:r>
      <w:r w:rsidR="005A130F">
        <w:t>rakendussäte 2023. aastal tegevuskava heakskiitmisega algava ja 15. oktoobril 2025. aastal lõppeva perioodi</w:t>
      </w:r>
      <w:r w:rsidR="005A130F" w:rsidRPr="006F04B0">
        <w:t xml:space="preserve"> </w:t>
      </w:r>
      <w:r w:rsidR="002B6347">
        <w:t xml:space="preserve">esimese eelarveaasta kohta. </w:t>
      </w:r>
      <w:r w:rsidR="002B6347" w:rsidRPr="00F07B46">
        <w:t>2023. aastal loetakse eelarveaastaks ajavahemikku alates tegevuskava heakskiitmisest kuni 15.</w:t>
      </w:r>
      <w:r w:rsidR="002B6347">
        <w:t xml:space="preserve"> </w:t>
      </w:r>
      <w:r w:rsidR="002B6347" w:rsidRPr="00F07B46">
        <w:t>oktoobrini 2023.</w:t>
      </w:r>
      <w:r w:rsidR="002B6347">
        <w:t xml:space="preserve"> </w:t>
      </w:r>
      <w:r w:rsidR="002B6347" w:rsidRPr="00F07B46">
        <w:t>a</w:t>
      </w:r>
      <w:r w:rsidR="002B6347">
        <w:t>astal</w:t>
      </w:r>
      <w:r w:rsidR="00DD3449">
        <w:t>, sest</w:t>
      </w:r>
      <w:r w:rsidR="002B6347" w:rsidRPr="006F04B0">
        <w:t xml:space="preserve"> </w:t>
      </w:r>
      <w:r w:rsidR="00F911D0" w:rsidRPr="006F04B0">
        <w:t>16.</w:t>
      </w:r>
      <w:r w:rsidR="00F911D0">
        <w:t xml:space="preserve"> oktoobril 2022. a</w:t>
      </w:r>
      <w:r w:rsidR="00DD3449">
        <w:t>asta</w:t>
      </w:r>
      <w:r w:rsidR="00F911D0">
        <w:t xml:space="preserve"> algav ja 15. oktoobril 202</w:t>
      </w:r>
      <w:r w:rsidR="00DD3449">
        <w:t>3</w:t>
      </w:r>
      <w:r w:rsidR="00F911D0">
        <w:t>. a</w:t>
      </w:r>
      <w:r w:rsidR="00DD3449">
        <w:t>asta</w:t>
      </w:r>
      <w:r w:rsidR="00F911D0">
        <w:t xml:space="preserve"> lõppev eelarveaasta </w:t>
      </w:r>
      <w:r w:rsidR="00DD3449">
        <w:t>jääb tavapärasest eelarveaastast lühemaks, kuna algab enne käesoleva</w:t>
      </w:r>
      <w:r w:rsidR="00F911D0">
        <w:t xml:space="preserve"> määruse jõustumisest. </w:t>
      </w:r>
    </w:p>
    <w:p w14:paraId="138F09CC" w14:textId="77777777" w:rsidR="005A130F" w:rsidRDefault="005A130F" w:rsidP="00F41D41">
      <w:pPr>
        <w:jc w:val="both"/>
      </w:pPr>
    </w:p>
    <w:p w14:paraId="7A374190" w14:textId="122153F3" w:rsidR="00F41D41" w:rsidRDefault="00DD3449" w:rsidP="00F41D41">
      <w:pPr>
        <w:jc w:val="both"/>
        <w:rPr>
          <w:color w:val="000000" w:themeColor="text1"/>
        </w:rPr>
      </w:pPr>
      <w:r>
        <w:t xml:space="preserve">Lõikes 2 sätestatakse rakendussäte </w:t>
      </w:r>
      <w:r w:rsidR="00F41D41">
        <w:t xml:space="preserve">mesinduskogu kogutavate turuteabe andmete PRIA-le esitamise kohta 2023. aastal. Erinevalt tavapärasest turuteabe andmete esitamise tähtajast, mis </w:t>
      </w:r>
      <w:r w:rsidR="00F41D41">
        <w:rPr>
          <w:color w:val="000000" w:themeColor="text1"/>
        </w:rPr>
        <w:t>k</w:t>
      </w:r>
      <w:r w:rsidR="00F41D41" w:rsidRPr="005047E7">
        <w:rPr>
          <w:color w:val="000000" w:themeColor="text1"/>
        </w:rPr>
        <w:t>omisjoni rakendusmääruse</w:t>
      </w:r>
      <w:r w:rsidR="00F41D41">
        <w:rPr>
          <w:color w:val="000000" w:themeColor="text1"/>
        </w:rPr>
        <w:t>ga</w:t>
      </w:r>
      <w:r w:rsidR="00F41D41" w:rsidRPr="005047E7">
        <w:rPr>
          <w:color w:val="000000" w:themeColor="text1"/>
        </w:rPr>
        <w:t xml:space="preserve"> (EL) 2022/1475 </w:t>
      </w:r>
      <w:r w:rsidR="00F41D41">
        <w:rPr>
          <w:color w:val="000000" w:themeColor="text1"/>
        </w:rPr>
        <w:t xml:space="preserve">nende andmete komisjonile </w:t>
      </w:r>
      <w:r w:rsidR="00DA59A4">
        <w:rPr>
          <w:color w:val="000000" w:themeColor="text1"/>
        </w:rPr>
        <w:t>esitamiseks sätestatud</w:t>
      </w:r>
      <w:r w:rsidR="00F41D41">
        <w:rPr>
          <w:color w:val="000000" w:themeColor="text1"/>
        </w:rPr>
        <w:t xml:space="preserve"> tähtaega </w:t>
      </w:r>
      <w:r w:rsidR="00DA59A4">
        <w:rPr>
          <w:color w:val="000000" w:themeColor="text1"/>
        </w:rPr>
        <w:t xml:space="preserve">(15. juuni) </w:t>
      </w:r>
      <w:r w:rsidR="00F41D41">
        <w:rPr>
          <w:color w:val="000000" w:themeColor="text1"/>
        </w:rPr>
        <w:t xml:space="preserve">arvestades on </w:t>
      </w:r>
      <w:r w:rsidR="00DA59A4">
        <w:rPr>
          <w:color w:val="000000" w:themeColor="text1"/>
        </w:rPr>
        <w:t xml:space="preserve">hiljemalt 1. juuniks </w:t>
      </w:r>
      <w:r w:rsidR="00F41D41" w:rsidRPr="005047E7">
        <w:rPr>
          <w:color w:val="000000" w:themeColor="text1"/>
        </w:rPr>
        <w:t>iga kahe aasta järel eelneva kalendriaasta kohta</w:t>
      </w:r>
      <w:r w:rsidR="00DA59A4">
        <w:rPr>
          <w:color w:val="000000" w:themeColor="text1"/>
        </w:rPr>
        <w:t>, esitatakse 2023. aastal turuteabe andmed 2022. kalendriaasta kohta 1. septembriks (komisjonile esitamise tähtaeg erandina 2023. aasta kohta 15. september).</w:t>
      </w:r>
    </w:p>
    <w:p w14:paraId="239E3CF6" w14:textId="08957F3D" w:rsidR="00112B78" w:rsidRDefault="00112B78" w:rsidP="00F41D41">
      <w:pPr>
        <w:jc w:val="both"/>
        <w:rPr>
          <w:color w:val="000000" w:themeColor="text1"/>
        </w:rPr>
      </w:pPr>
    </w:p>
    <w:p w14:paraId="2EC09161" w14:textId="28F9E97F" w:rsidR="00112B78" w:rsidRPr="00BA44DC" w:rsidRDefault="00112B78" w:rsidP="00F41D41">
      <w:pPr>
        <w:jc w:val="both"/>
      </w:pPr>
      <w:r>
        <w:rPr>
          <w:color w:val="000000" w:themeColor="text1"/>
        </w:rPr>
        <w:t xml:space="preserve">Lõikes 3 sätestatakse rakendussäte </w:t>
      </w:r>
      <w:r>
        <w:t>2023. aastal tegevuskava heakskiitmisega algaval ja 15. oktoobril 2025. aastal lõppeval perioodi</w:t>
      </w:r>
      <w:r>
        <w:rPr>
          <w:color w:val="000000" w:themeColor="text1"/>
        </w:rPr>
        <w:t>l teatud kulude abikõlblikkuse osas. Eelnõu § 6 lõike 5 punkti 2 kohaselt on kulu</w:t>
      </w:r>
      <w:r w:rsidR="00A7209B">
        <w:rPr>
          <w:color w:val="000000" w:themeColor="text1"/>
        </w:rPr>
        <w:t>, mis on tehtud</w:t>
      </w:r>
      <w:r w:rsidRPr="00112B78">
        <w:rPr>
          <w:color w:val="000000" w:themeColor="text1"/>
        </w:rPr>
        <w:t xml:space="preserve"> enne tegevuskava esitamisele järgnevat päeva</w:t>
      </w:r>
      <w:r>
        <w:rPr>
          <w:color w:val="000000" w:themeColor="text1"/>
        </w:rPr>
        <w:t xml:space="preserve">, mitteabikõlblik. </w:t>
      </w:r>
      <w:r w:rsidR="00C60726">
        <w:rPr>
          <w:color w:val="000000" w:themeColor="text1"/>
        </w:rPr>
        <w:t>Tegevuskava saab PRIA-le esitada peale käesoleva määruse jõustumist. Arvestades</w:t>
      </w:r>
      <w:r w:rsidR="00A7209B">
        <w:rPr>
          <w:color w:val="000000" w:themeColor="text1"/>
        </w:rPr>
        <w:t xml:space="preserve">, et </w:t>
      </w:r>
      <w:r w:rsidR="0082265F">
        <w:rPr>
          <w:color w:val="000000" w:themeColor="text1"/>
        </w:rPr>
        <w:t xml:space="preserve">mesindussektorisse sekkumise toetuse eelarve on ette nähtud kõikide eelarveaastate kohta ühesuguse suurusena, kuid </w:t>
      </w:r>
      <w:r w:rsidR="0082265F">
        <w:t>2023. aastal tegevuskava heakskiitmisega algaval ja 15. oktoobril 2025. aastal lõppeval perioodi</w:t>
      </w:r>
      <w:r w:rsidR="0082265F">
        <w:rPr>
          <w:color w:val="000000" w:themeColor="text1"/>
        </w:rPr>
        <w:t xml:space="preserve">l jääb </w:t>
      </w:r>
      <w:r w:rsidR="00BA44DC">
        <w:rPr>
          <w:color w:val="000000" w:themeColor="text1"/>
        </w:rPr>
        <w:t xml:space="preserve">mesinduskogul </w:t>
      </w:r>
      <w:r w:rsidR="0082265F">
        <w:rPr>
          <w:color w:val="000000" w:themeColor="text1"/>
        </w:rPr>
        <w:t>perioodi es</w:t>
      </w:r>
      <w:r w:rsidR="00D07490">
        <w:rPr>
          <w:color w:val="000000" w:themeColor="text1"/>
        </w:rPr>
        <w:t>imesel aastal tegevuste teostamise</w:t>
      </w:r>
      <w:r w:rsidR="0082265F">
        <w:rPr>
          <w:color w:val="000000" w:themeColor="text1"/>
        </w:rPr>
        <w:t xml:space="preserve"> </w:t>
      </w:r>
      <w:r w:rsidR="00654A41">
        <w:rPr>
          <w:color w:val="000000" w:themeColor="text1"/>
        </w:rPr>
        <w:t xml:space="preserve">võimalus </w:t>
      </w:r>
      <w:r w:rsidR="00D07490">
        <w:rPr>
          <w:color w:val="000000" w:themeColor="text1"/>
        </w:rPr>
        <w:t>eelarveaastast märksa</w:t>
      </w:r>
      <w:r w:rsidR="0082265F">
        <w:rPr>
          <w:color w:val="000000" w:themeColor="text1"/>
        </w:rPr>
        <w:t xml:space="preserve"> lühema perioodi peale ning </w:t>
      </w:r>
      <w:r w:rsidR="00654A41">
        <w:rPr>
          <w:color w:val="000000" w:themeColor="text1"/>
        </w:rPr>
        <w:t xml:space="preserve">seetõttu on risk eelarve alakasutamise </w:t>
      </w:r>
      <w:r w:rsidR="00BA44DC">
        <w:rPr>
          <w:color w:val="000000" w:themeColor="text1"/>
        </w:rPr>
        <w:t xml:space="preserve">osas </w:t>
      </w:r>
      <w:r w:rsidR="00654A41">
        <w:rPr>
          <w:color w:val="000000" w:themeColor="text1"/>
        </w:rPr>
        <w:t xml:space="preserve">suurem, </w:t>
      </w:r>
      <w:r w:rsidR="004A403A">
        <w:rPr>
          <w:color w:val="000000" w:themeColor="text1"/>
        </w:rPr>
        <w:t>on otstarbekas teatud kulude puhul</w:t>
      </w:r>
      <w:r w:rsidR="00B11AC0">
        <w:rPr>
          <w:color w:val="000000" w:themeColor="text1"/>
        </w:rPr>
        <w:t>, mis tekivad enne tegevuskava esitamist ni</w:t>
      </w:r>
      <w:r w:rsidR="00117BF4">
        <w:rPr>
          <w:color w:val="000000" w:themeColor="text1"/>
        </w:rPr>
        <w:t>ng millede</w:t>
      </w:r>
      <w:r w:rsidR="00B11AC0">
        <w:rPr>
          <w:color w:val="000000" w:themeColor="text1"/>
        </w:rPr>
        <w:t xml:space="preserve"> tegemist pole võimalik edasi lükata,</w:t>
      </w:r>
      <w:r w:rsidR="004A403A">
        <w:rPr>
          <w:color w:val="000000" w:themeColor="text1"/>
        </w:rPr>
        <w:t xml:space="preserve"> nende abikõlblikkuse </w:t>
      </w:r>
      <w:r w:rsidR="00B11AC0">
        <w:rPr>
          <w:color w:val="000000" w:themeColor="text1"/>
        </w:rPr>
        <w:t>perioodi ettepoole nihutada</w:t>
      </w:r>
      <w:r w:rsidR="004A403A">
        <w:rPr>
          <w:color w:val="000000" w:themeColor="text1"/>
        </w:rPr>
        <w:t xml:space="preserve">. </w:t>
      </w:r>
      <w:r w:rsidR="00117BF4">
        <w:rPr>
          <w:color w:val="000000" w:themeColor="text1"/>
        </w:rPr>
        <w:t>Sellisteks kuludeks on välisriigis toimuva</w:t>
      </w:r>
      <w:r w:rsidR="00D07490">
        <w:rPr>
          <w:color w:val="000000" w:themeColor="text1"/>
        </w:rPr>
        <w:t>te</w:t>
      </w:r>
      <w:r w:rsidR="00117BF4">
        <w:rPr>
          <w:color w:val="000000" w:themeColor="text1"/>
        </w:rPr>
        <w:t xml:space="preserve"> üritus</w:t>
      </w:r>
      <w:r w:rsidR="00D07490">
        <w:rPr>
          <w:color w:val="000000" w:themeColor="text1"/>
        </w:rPr>
        <w:t>t</w:t>
      </w:r>
      <w:r w:rsidR="00117BF4">
        <w:rPr>
          <w:color w:val="000000" w:themeColor="text1"/>
        </w:rPr>
        <w:t>ega</w:t>
      </w:r>
      <w:r w:rsidR="00C60726">
        <w:rPr>
          <w:color w:val="000000" w:themeColor="text1"/>
        </w:rPr>
        <w:t xml:space="preserve">, mis rahvusvahelisel tasandil koostöö edendamise ja uute teadmiste kaudu </w:t>
      </w:r>
      <w:r w:rsidR="00D07490">
        <w:rPr>
          <w:color w:val="000000" w:themeColor="text1"/>
        </w:rPr>
        <w:t>aitavad</w:t>
      </w:r>
      <w:r w:rsidR="00117BF4">
        <w:rPr>
          <w:color w:val="000000" w:themeColor="text1"/>
        </w:rPr>
        <w:t xml:space="preserve"> </w:t>
      </w:r>
      <w:r w:rsidR="00C60726">
        <w:rPr>
          <w:color w:val="000000" w:themeColor="text1"/>
        </w:rPr>
        <w:t xml:space="preserve">kaasa mesindussektorisse sekkumise eesmärgi saavutamisele, </w:t>
      </w:r>
      <w:r w:rsidR="00117BF4">
        <w:rPr>
          <w:color w:val="000000" w:themeColor="text1"/>
        </w:rPr>
        <w:t xml:space="preserve">seotud osalemistasu ning sõidu- ja majutuskulud. </w:t>
      </w:r>
      <w:r w:rsidR="004A403A" w:rsidRPr="00741ABD">
        <w:t>Euroo</w:t>
      </w:r>
      <w:r w:rsidR="004A403A">
        <w:t>pa Parlamendi ja nõukogu määruse</w:t>
      </w:r>
      <w:r w:rsidR="004A403A" w:rsidRPr="00741ABD">
        <w:t xml:space="preserve"> (EL) </w:t>
      </w:r>
      <w:r w:rsidR="004A403A">
        <w:t>2021/2115 artikli 86 lõike 1 punkti a kohaselt on EAGFi osaluse jaoks kulud rahastamiskõlblikud alates selle aasta 1. jaanuarist, mis järgneb aastale, mil komisjon ÜPP strateegiakava heaks kiidab, ehk 1. jaanuarist 2023. aasta.</w:t>
      </w:r>
      <w:r w:rsidR="00B11AC0">
        <w:t xml:space="preserve"> </w:t>
      </w:r>
      <w:r w:rsidR="00BA44DC">
        <w:t>Eeltoodust tulenevalt</w:t>
      </w:r>
      <w:r w:rsidR="00B11AC0">
        <w:t xml:space="preserve"> sätestatakse, et </w:t>
      </w:r>
      <w:r w:rsidR="00B11AC0" w:rsidRPr="000844E1">
        <w:t xml:space="preserve">2023. aastal välisriigis toimuva ürituse osalemistasu ning sellega seotud sõidu- ja majutuskulud on </w:t>
      </w:r>
      <w:r w:rsidR="00B11AC0">
        <w:t xml:space="preserve">erandina </w:t>
      </w:r>
      <w:r w:rsidR="00B11AC0" w:rsidRPr="000844E1">
        <w:t>abikõlblikud alates 1. jaanuarist 2023. aastal.</w:t>
      </w:r>
    </w:p>
    <w:p w14:paraId="41915081" w14:textId="77777777" w:rsidR="009A03A5" w:rsidRPr="00BA44DC" w:rsidRDefault="009A03A5" w:rsidP="00F85A52">
      <w:pPr>
        <w:rPr>
          <w:b/>
        </w:rPr>
      </w:pPr>
    </w:p>
    <w:p w14:paraId="2D535E57" w14:textId="77777777" w:rsidR="002D6483" w:rsidRDefault="002D6483" w:rsidP="002D6483">
      <w:pPr>
        <w:jc w:val="both"/>
        <w:rPr>
          <w:b/>
          <w:bCs/>
        </w:rPr>
      </w:pPr>
      <w:r w:rsidRPr="002D6483">
        <w:rPr>
          <w:b/>
          <w:bCs/>
        </w:rPr>
        <w:t>3. Eelnõu vastavus Euroopa Liidu õigusele</w:t>
      </w:r>
    </w:p>
    <w:p w14:paraId="7256F1EA" w14:textId="77777777" w:rsidR="002D6483" w:rsidRDefault="002D6483" w:rsidP="002D6483">
      <w:pPr>
        <w:jc w:val="both"/>
        <w:rPr>
          <w:b/>
          <w:bCs/>
        </w:rPr>
      </w:pPr>
    </w:p>
    <w:p w14:paraId="6A16976E" w14:textId="223A02B8" w:rsidR="004953DD" w:rsidRDefault="004953DD" w:rsidP="002D6483">
      <w:pPr>
        <w:jc w:val="both"/>
      </w:pPr>
      <w:r>
        <w:t xml:space="preserve">Eelnõu väljatöötamisel võeti aluseks </w:t>
      </w:r>
      <w:r w:rsidR="00A7307D">
        <w:t>järgmised</w:t>
      </w:r>
      <w:r>
        <w:t xml:space="preserve"> EL</w:t>
      </w:r>
      <w:r w:rsidR="005E04BA">
        <w:t>-i</w:t>
      </w:r>
      <w:r>
        <w:t xml:space="preserve"> õigusaktid:</w:t>
      </w:r>
    </w:p>
    <w:p w14:paraId="0C8B94B3" w14:textId="53AB854F" w:rsidR="002D6483" w:rsidRDefault="004953DD" w:rsidP="002D6483">
      <w:pPr>
        <w:jc w:val="both"/>
      </w:pPr>
      <w:r>
        <w:t xml:space="preserve">-  </w:t>
      </w:r>
      <w:r w:rsidRPr="00741ABD">
        <w:t>Euroo</w:t>
      </w:r>
      <w:r>
        <w:t>pa Parlamendi ja nõukogu määrus</w:t>
      </w:r>
      <w:r w:rsidRPr="00741ABD">
        <w:t xml:space="preserve"> (EL) </w:t>
      </w:r>
      <w:r>
        <w:t>2021/2115</w:t>
      </w:r>
      <w:r w:rsidRPr="00741ABD">
        <w:t>, millega kehtestatakse liikmesriikide koostatavate Euroopa Põllumajanduse Tagatisfondist (EAGF) ja Euroopa Maaelu Arengu Põllumajandusfondist (EAFRD) rahastatavate ühise põllumajanduspoliitika strateegiakavade</w:t>
      </w:r>
      <w:r>
        <w:t xml:space="preserve"> (ÜPP strateegiakavad)</w:t>
      </w:r>
      <w:r w:rsidRPr="004A47A1">
        <w:t xml:space="preserve"> toetamise reeglid ning tunnistatakse kehtetuks määrused (EL) nr 1305/2013 ja (EL) nr 1307/2013 (ELT L 435, 06.12.2021, lk 1–186)</w:t>
      </w:r>
      <w:r>
        <w:t>;</w:t>
      </w:r>
    </w:p>
    <w:p w14:paraId="762610D2" w14:textId="7D461CF7" w:rsidR="00114626" w:rsidRDefault="00114626" w:rsidP="002D6483">
      <w:pPr>
        <w:jc w:val="both"/>
      </w:pPr>
      <w:r>
        <w:lastRenderedPageBreak/>
        <w:t xml:space="preserve">- </w:t>
      </w:r>
      <w:r w:rsidRPr="00795BD5">
        <w:t>Euroo</w:t>
      </w:r>
      <w:r>
        <w:t>pa Parlamendi ja nõukogu määrus</w:t>
      </w:r>
      <w:r w:rsidRPr="00795BD5">
        <w:t xml:space="preserve"> (EL) nr 2021/2116</w:t>
      </w:r>
      <w:r>
        <w:t>,</w:t>
      </w:r>
      <w:r w:rsidRPr="00FC1E9B">
        <w:t xml:space="preserve"> mis käsitleb ühise põllumajanduspoliitika rahastamist, haldamist ja seiret ning millega tunnistatakse kehtetuks määrus (EL) nr 1306/2013 (ELT L 435, 06.12.2021, lk 187–261)</w:t>
      </w:r>
      <w:r>
        <w:t>;</w:t>
      </w:r>
    </w:p>
    <w:p w14:paraId="25ED7A68" w14:textId="017459C8" w:rsidR="004953DD" w:rsidRDefault="004953DD" w:rsidP="002D6483">
      <w:pPr>
        <w:jc w:val="both"/>
      </w:pPr>
      <w:r>
        <w:t>- komisjoni delegeeritud määrus (EL) 2022/126, millega täiendatakse Euroopa Parlamendi ja nõukogu määrust (EL) 2021/2115 täiendavate nõuetega teatavatele sekkumisviisidele, mille liikmesriigid määravad kindlaks kõnealuse määruse kohastes ajavahemikuks 2023–2027 ette nähtud ÜPP strateegiakavades, ning eeskirjadega, milles käsitletakse maa heas põllumajandus- ja keskkonnaseisundis hoidmise (HPK) 1.standardi kohast suhtarvu (ELT L 20, 31.01.2022, lk 52–94;</w:t>
      </w:r>
    </w:p>
    <w:p w14:paraId="67A4F105" w14:textId="21356C74" w:rsidR="004953DD" w:rsidRDefault="00FD3D14" w:rsidP="002D6483">
      <w:pPr>
        <w:jc w:val="both"/>
      </w:pPr>
      <w:r>
        <w:t>- komisjoni delegeeritud määrus</w:t>
      </w:r>
      <w:r w:rsidRPr="00833315">
        <w:t xml:space="preserve"> </w:t>
      </w:r>
      <w:r>
        <w:t xml:space="preserve">(EÜ) 2022/127, </w:t>
      </w:r>
      <w:r w:rsidRPr="00FD3D14">
        <w:t>millega täiendatakse Euroopa Parlamendi ja nõukogu määrust (EL) 2021/2116 makse- ja muid asutusi, finantsjuhtimist, raamatupidamisarvestuse kontrollimist ja heakskiitmist, tagatisi ja euro kasutamist käsitlevate eeskirjadega</w:t>
      </w:r>
      <w:r>
        <w:t xml:space="preserve"> (ELT L 20, 31.01.2022, lk 95–130).</w:t>
      </w:r>
    </w:p>
    <w:p w14:paraId="198E52BE" w14:textId="04090A22" w:rsidR="005E04BA" w:rsidRDefault="005E04BA" w:rsidP="002D6483">
      <w:pPr>
        <w:jc w:val="both"/>
      </w:pPr>
    </w:p>
    <w:p w14:paraId="69D67C49" w14:textId="280839BE" w:rsidR="005E04BA" w:rsidRPr="005E04BA" w:rsidRDefault="005E04BA" w:rsidP="002D6483">
      <w:pPr>
        <w:jc w:val="both"/>
        <w:rPr>
          <w:bCs/>
          <w:noProof/>
        </w:rPr>
      </w:pPr>
      <w:r>
        <w:rPr>
          <w:bCs/>
          <w:noProof/>
        </w:rPr>
        <w:t>N</w:t>
      </w:r>
      <w:r w:rsidRPr="00B12350">
        <w:rPr>
          <w:bCs/>
          <w:noProof/>
        </w:rPr>
        <w:t xml:space="preserve">imetatud </w:t>
      </w:r>
      <w:r>
        <w:rPr>
          <w:bCs/>
          <w:noProof/>
        </w:rPr>
        <w:t>EL-i</w:t>
      </w:r>
      <w:r w:rsidRPr="00B12350">
        <w:rPr>
          <w:bCs/>
          <w:noProof/>
        </w:rPr>
        <w:t xml:space="preserve"> õigusaktid on kättesaadavad Euroopa Liidu Teataja veebilehel </w:t>
      </w:r>
      <w:hyperlink r:id="rId9" w:history="1">
        <w:r w:rsidRPr="00466A4F">
          <w:rPr>
            <w:rStyle w:val="Hyperlink"/>
            <w:bCs/>
            <w:noProof/>
          </w:rPr>
          <w:t>https://eur-lex.europa.eu</w:t>
        </w:r>
      </w:hyperlink>
      <w:r w:rsidRPr="00B12350">
        <w:rPr>
          <w:bCs/>
          <w:noProof/>
        </w:rPr>
        <w:t>.</w:t>
      </w:r>
    </w:p>
    <w:p w14:paraId="61D43FB6" w14:textId="77777777" w:rsidR="002D6483" w:rsidRDefault="002D6483" w:rsidP="002D6483">
      <w:pPr>
        <w:jc w:val="both"/>
        <w:rPr>
          <w:b/>
          <w:bCs/>
        </w:rPr>
      </w:pPr>
    </w:p>
    <w:p w14:paraId="269D1B29" w14:textId="77777777" w:rsidR="002D6483" w:rsidRDefault="002D6483" w:rsidP="002D6483">
      <w:pPr>
        <w:jc w:val="both"/>
        <w:rPr>
          <w:b/>
          <w:bCs/>
        </w:rPr>
      </w:pPr>
      <w:r w:rsidRPr="002D6483">
        <w:rPr>
          <w:b/>
          <w:bCs/>
        </w:rPr>
        <w:t>4. Määruse mõjud</w:t>
      </w:r>
    </w:p>
    <w:p w14:paraId="7427B8E7" w14:textId="77777777" w:rsidR="002D6483" w:rsidRDefault="002D6483" w:rsidP="002D6483">
      <w:pPr>
        <w:jc w:val="both"/>
        <w:rPr>
          <w:b/>
          <w:bCs/>
        </w:rPr>
      </w:pPr>
    </w:p>
    <w:p w14:paraId="68DBF8B1" w14:textId="075F4B1F" w:rsidR="00370488" w:rsidRDefault="00370488" w:rsidP="005F5D0F">
      <w:pPr>
        <w:jc w:val="both"/>
        <w:rPr>
          <w:noProof/>
        </w:rPr>
      </w:pPr>
      <w:r>
        <w:rPr>
          <w:noProof/>
        </w:rPr>
        <w:t>K</w:t>
      </w:r>
      <w:r w:rsidRPr="0098441D">
        <w:rPr>
          <w:noProof/>
        </w:rPr>
        <w:t>omisjoni 29. novembri 2017. aasta teatises „Toidutootmise ja põllumajanduse tulevik“</w:t>
      </w:r>
      <w:r>
        <w:rPr>
          <w:noProof/>
        </w:rPr>
        <w:t xml:space="preserve"> seatud EL-i ÜPP eesmärkide saavutamist toetava abinõuna nähakse ÜPP strateegiakavade määruses mesindussektori osas ette liikmesriikidele kohustuslikus korras rakendatav mesindussektori</w:t>
      </w:r>
      <w:r w:rsidR="00B24457">
        <w:rPr>
          <w:noProof/>
        </w:rPr>
        <w:t>sse sekkumis</w:t>
      </w:r>
      <w:r>
        <w:rPr>
          <w:noProof/>
        </w:rPr>
        <w:t>e</w:t>
      </w:r>
      <w:r w:rsidR="00B24457">
        <w:rPr>
          <w:noProof/>
        </w:rPr>
        <w:t xml:space="preserve"> meede</w:t>
      </w:r>
      <w:r w:rsidR="00CE4B88">
        <w:rPr>
          <w:noProof/>
        </w:rPr>
        <w:t>.</w:t>
      </w:r>
      <w:r>
        <w:rPr>
          <w:noProof/>
        </w:rPr>
        <w:t xml:space="preserve"> </w:t>
      </w:r>
      <w:r w:rsidR="00EE3F63">
        <w:rPr>
          <w:noProof/>
        </w:rPr>
        <w:t>Nimetatud</w:t>
      </w:r>
      <w:r w:rsidR="0046079C">
        <w:rPr>
          <w:noProof/>
        </w:rPr>
        <w:t xml:space="preserve"> määruses sätestatud täpsemast eesmärkide valikust </w:t>
      </w:r>
      <w:r w:rsidR="00EE3F63">
        <w:rPr>
          <w:noProof/>
        </w:rPr>
        <w:t xml:space="preserve">valiti </w:t>
      </w:r>
      <w:r w:rsidR="0046079C">
        <w:rPr>
          <w:noProof/>
        </w:rPr>
        <w:t>mesindussektori esindusorganisatsioonidega koostöös mesindussektori</w:t>
      </w:r>
      <w:r w:rsidR="00B24457">
        <w:rPr>
          <w:noProof/>
        </w:rPr>
        <w:t>sse</w:t>
      </w:r>
      <w:r w:rsidR="0046079C">
        <w:rPr>
          <w:noProof/>
        </w:rPr>
        <w:t xml:space="preserve"> sekkumise eesmärgiks </w:t>
      </w:r>
      <w:r w:rsidR="00EE3F63">
        <w:rPr>
          <w:noProof/>
        </w:rPr>
        <w:t>Eestis siinse mesindussektori konkurentsivõime ja turule orienteerituse suurendamine. Eesmärgist ning eesmärgi täitmiseks valitud mesindussektori</w:t>
      </w:r>
      <w:r w:rsidR="00B24457">
        <w:rPr>
          <w:noProof/>
        </w:rPr>
        <w:t>sse</w:t>
      </w:r>
      <w:r w:rsidR="00EE3F63">
        <w:rPr>
          <w:noProof/>
        </w:rPr>
        <w:t xml:space="preserve"> sekkumis</w:t>
      </w:r>
      <w:r w:rsidR="00B24457">
        <w:rPr>
          <w:noProof/>
        </w:rPr>
        <w:t xml:space="preserve">e </w:t>
      </w:r>
      <w:r w:rsidR="00EE3F63">
        <w:rPr>
          <w:noProof/>
        </w:rPr>
        <w:t xml:space="preserve">viisidest </w:t>
      </w:r>
      <w:r w:rsidR="00597A8F">
        <w:rPr>
          <w:noProof/>
        </w:rPr>
        <w:t xml:space="preserve">tulenevalt kaasneb toetusega positiivne mõju majandusele. </w:t>
      </w:r>
      <w:r w:rsidR="00401960">
        <w:rPr>
          <w:noProof/>
        </w:rPr>
        <w:t xml:space="preserve">Toetust antakse mesindussektori isikute ühenduste moodustatud mesinduskogule, kuid </w:t>
      </w:r>
      <w:r w:rsidR="00597A8F" w:rsidRPr="00597A8F">
        <w:rPr>
          <w:noProof/>
        </w:rPr>
        <w:t xml:space="preserve">lõppkasusaajateks </w:t>
      </w:r>
      <w:r w:rsidR="00401960">
        <w:rPr>
          <w:noProof/>
        </w:rPr>
        <w:t xml:space="preserve">mitmesuguste toetatavate tegevuste (koolitus, usaldusmesinike nõuandeteenus, teabematerjal, mesilashaiguste tõrje vahendid, mesilashaiguste analüüsimine, koostöö teadusasutustega, mee ja meetoodete promotsiooniüritus, jne) kaudu </w:t>
      </w:r>
      <w:r w:rsidR="00597A8F" w:rsidRPr="00597A8F">
        <w:rPr>
          <w:noProof/>
        </w:rPr>
        <w:t>on mesiniku</w:t>
      </w:r>
      <w:r w:rsidR="00401960">
        <w:rPr>
          <w:noProof/>
        </w:rPr>
        <w:t>d – nii ühenduste</w:t>
      </w:r>
      <w:r w:rsidR="00597A8F" w:rsidRPr="00597A8F">
        <w:rPr>
          <w:noProof/>
        </w:rPr>
        <w:t xml:space="preserve"> kaudu mesinduskogu</w:t>
      </w:r>
      <w:r w:rsidR="00401960">
        <w:rPr>
          <w:noProof/>
        </w:rPr>
        <w:t>sse kuuluvad kui mitte kuuluvad</w:t>
      </w:r>
      <w:r w:rsidR="00597A8F" w:rsidRPr="00597A8F">
        <w:rPr>
          <w:noProof/>
        </w:rPr>
        <w:t>.</w:t>
      </w:r>
      <w:r w:rsidR="00CE4B88">
        <w:rPr>
          <w:noProof/>
        </w:rPr>
        <w:t xml:space="preserve"> </w:t>
      </w:r>
      <w:r w:rsidR="001E68B5">
        <w:rPr>
          <w:noProof/>
        </w:rPr>
        <w:t>Põllumajandu</w:t>
      </w:r>
      <w:r w:rsidR="001F3A5A">
        <w:rPr>
          <w:noProof/>
        </w:rPr>
        <w:t>sloomade registri andmetel peeti</w:t>
      </w:r>
      <w:r w:rsidR="001E68B5">
        <w:rPr>
          <w:noProof/>
        </w:rPr>
        <w:t xml:space="preserve"> 31. oktoobri 2022. a seisuga Eestis </w:t>
      </w:r>
      <w:r w:rsidR="00B60C25" w:rsidRPr="00B60C25">
        <w:rPr>
          <w:noProof/>
        </w:rPr>
        <w:t>2 911</w:t>
      </w:r>
      <w:r w:rsidR="001E68B5" w:rsidRPr="00B60C25">
        <w:rPr>
          <w:noProof/>
        </w:rPr>
        <w:t xml:space="preserve"> me</w:t>
      </w:r>
      <w:r w:rsidR="001E68B5" w:rsidRPr="001F3A5A">
        <w:rPr>
          <w:noProof/>
        </w:rPr>
        <w:t xml:space="preserve">siniku </w:t>
      </w:r>
      <w:r w:rsidR="001F3A5A">
        <w:rPr>
          <w:noProof/>
        </w:rPr>
        <w:t xml:space="preserve">poolt </w:t>
      </w:r>
      <w:r w:rsidR="001E68B5" w:rsidRPr="001F3A5A">
        <w:rPr>
          <w:noProof/>
        </w:rPr>
        <w:t>5 </w:t>
      </w:r>
      <w:r w:rsidR="00B60C25" w:rsidRPr="001F3A5A">
        <w:rPr>
          <w:noProof/>
        </w:rPr>
        <w:t>471</w:t>
      </w:r>
      <w:r w:rsidR="001E68B5" w:rsidRPr="001F3A5A">
        <w:rPr>
          <w:noProof/>
        </w:rPr>
        <w:t xml:space="preserve"> mesilas</w:t>
      </w:r>
      <w:r w:rsidR="00B60C25" w:rsidRPr="001F3A5A">
        <w:rPr>
          <w:noProof/>
        </w:rPr>
        <w:t xml:space="preserve"> kokku 52</w:t>
      </w:r>
      <w:r w:rsidR="001E68B5" w:rsidRPr="001F3A5A">
        <w:rPr>
          <w:noProof/>
        </w:rPr>
        <w:t> </w:t>
      </w:r>
      <w:r w:rsidR="00B60C25" w:rsidRPr="001F3A5A">
        <w:rPr>
          <w:noProof/>
        </w:rPr>
        <w:t>131</w:t>
      </w:r>
      <w:r w:rsidR="001E68B5" w:rsidRPr="001F3A5A">
        <w:rPr>
          <w:noProof/>
        </w:rPr>
        <w:t xml:space="preserve"> mesilasperet. </w:t>
      </w:r>
      <w:r w:rsidR="00705B24" w:rsidRPr="001F3A5A">
        <w:rPr>
          <w:noProof/>
        </w:rPr>
        <w:t xml:space="preserve">Kuna </w:t>
      </w:r>
      <w:r w:rsidR="001E68B5" w:rsidRPr="001F3A5A">
        <w:rPr>
          <w:noProof/>
        </w:rPr>
        <w:t xml:space="preserve">toetusega </w:t>
      </w:r>
      <w:r w:rsidR="00705B24" w:rsidRPr="001F3A5A">
        <w:rPr>
          <w:noProof/>
        </w:rPr>
        <w:t>toetatavaid tegevusi on</w:t>
      </w:r>
      <w:r w:rsidR="00705B24">
        <w:rPr>
          <w:noProof/>
        </w:rPr>
        <w:t xml:space="preserve"> palju</w:t>
      </w:r>
      <w:r w:rsidR="001E020A">
        <w:rPr>
          <w:noProof/>
        </w:rPr>
        <w:t xml:space="preserve"> ning</w:t>
      </w:r>
      <w:r w:rsidR="00E03007">
        <w:rPr>
          <w:noProof/>
        </w:rPr>
        <w:t xml:space="preserve"> nende</w:t>
      </w:r>
      <w:r w:rsidR="001F3A5A">
        <w:rPr>
          <w:noProof/>
        </w:rPr>
        <w:t xml:space="preserve"> </w:t>
      </w:r>
      <w:r w:rsidR="00E03007">
        <w:rPr>
          <w:noProof/>
        </w:rPr>
        <w:t>iseloom ja maht</w:t>
      </w:r>
      <w:r w:rsidR="002C0526">
        <w:rPr>
          <w:noProof/>
        </w:rPr>
        <w:t xml:space="preserve"> väga erinev</w:t>
      </w:r>
      <w:r w:rsidR="001642AA">
        <w:rPr>
          <w:noProof/>
        </w:rPr>
        <w:t xml:space="preserve"> (alates näiteks usaldusmesiniku nõuandest üksikmesinikule kuni </w:t>
      </w:r>
      <w:r w:rsidR="001642AA" w:rsidRPr="001642AA">
        <w:rPr>
          <w:noProof/>
        </w:rPr>
        <w:t>tegevuskav</w:t>
      </w:r>
      <w:r w:rsidR="001642AA">
        <w:rPr>
          <w:noProof/>
        </w:rPr>
        <w:t>a</w:t>
      </w:r>
      <w:r w:rsidR="001642AA" w:rsidRPr="001642AA">
        <w:rPr>
          <w:noProof/>
        </w:rPr>
        <w:t xml:space="preserve"> rakendamise kohta </w:t>
      </w:r>
      <w:r w:rsidR="001642AA">
        <w:rPr>
          <w:noProof/>
        </w:rPr>
        <w:t>peetava</w:t>
      </w:r>
      <w:r w:rsidR="00741F6C">
        <w:rPr>
          <w:noProof/>
        </w:rPr>
        <w:t>lt</w:t>
      </w:r>
      <w:r w:rsidR="001642AA">
        <w:rPr>
          <w:noProof/>
        </w:rPr>
        <w:t xml:space="preserve"> veebilehe</w:t>
      </w:r>
      <w:r w:rsidR="00741F6C">
        <w:rPr>
          <w:noProof/>
        </w:rPr>
        <w:t>lt info leidmiseni</w:t>
      </w:r>
      <w:r w:rsidR="001642AA">
        <w:rPr>
          <w:noProof/>
        </w:rPr>
        <w:t xml:space="preserve"> </w:t>
      </w:r>
      <w:r w:rsidR="001E020A">
        <w:rPr>
          <w:noProof/>
        </w:rPr>
        <w:t>väga paljude mesinike poolt)</w:t>
      </w:r>
      <w:r w:rsidR="00D15B2E">
        <w:rPr>
          <w:noProof/>
        </w:rPr>
        <w:t xml:space="preserve">, </w:t>
      </w:r>
      <w:r w:rsidR="001E020A">
        <w:rPr>
          <w:noProof/>
        </w:rPr>
        <w:t xml:space="preserve">on toetuse otseste lõppkasusaajate mesinike arvu </w:t>
      </w:r>
      <w:r w:rsidR="00D15B2E">
        <w:rPr>
          <w:noProof/>
        </w:rPr>
        <w:t xml:space="preserve">tegevuste ja mesinike kattuvuse tõttu </w:t>
      </w:r>
      <w:r w:rsidR="001E020A">
        <w:rPr>
          <w:noProof/>
        </w:rPr>
        <w:t>piisava täpsusega keeruline</w:t>
      </w:r>
      <w:r w:rsidR="001E020A" w:rsidRPr="00705B24">
        <w:rPr>
          <w:noProof/>
        </w:rPr>
        <w:t xml:space="preserve"> hinnata</w:t>
      </w:r>
      <w:r w:rsidR="001E020A">
        <w:rPr>
          <w:noProof/>
        </w:rPr>
        <w:t xml:space="preserve">. </w:t>
      </w:r>
      <w:r w:rsidR="001E68B5" w:rsidRPr="001E68B5">
        <w:rPr>
          <w:noProof/>
        </w:rPr>
        <w:t>Eeldatav</w:t>
      </w:r>
      <w:r w:rsidR="00741F6C">
        <w:rPr>
          <w:noProof/>
        </w:rPr>
        <w:t>alt võiks</w:t>
      </w:r>
      <w:r w:rsidR="001E68B5" w:rsidRPr="001E68B5">
        <w:rPr>
          <w:noProof/>
        </w:rPr>
        <w:t xml:space="preserve"> </w:t>
      </w:r>
      <w:r w:rsidR="00741F6C">
        <w:rPr>
          <w:noProof/>
        </w:rPr>
        <w:t>toetusega seotud tegevustest mingilgi määral otsest kasu saada ca 2/3 kõikidest Eesti mesinikest aastas. Kaudselt saavad toetusest läbi mitmete tegevuste (nt tarbijate teadlikkuse suurendamisele suunatud tegevused</w:t>
      </w:r>
      <w:r w:rsidR="004B0A87">
        <w:rPr>
          <w:noProof/>
        </w:rPr>
        <w:t xml:space="preserve">) </w:t>
      </w:r>
      <w:r w:rsidR="00741F6C">
        <w:rPr>
          <w:noProof/>
        </w:rPr>
        <w:t>kasu aga kõik Eesti mesinikud.</w:t>
      </w:r>
    </w:p>
    <w:p w14:paraId="40AE5E52" w14:textId="356A6F48" w:rsidR="00A46BF2" w:rsidRPr="003E3A76" w:rsidRDefault="003E3A76" w:rsidP="005F5D0F">
      <w:pPr>
        <w:jc w:val="both"/>
      </w:pPr>
      <w:r>
        <w:t xml:space="preserve">Mesindussektori konkurentsivõime ja </w:t>
      </w:r>
      <w:r w:rsidR="009A68C6">
        <w:t>turule orienteerituse parandamiseks</w:t>
      </w:r>
      <w:r>
        <w:t xml:space="preserve"> rakendatakse Eestis järgmiseid</w:t>
      </w:r>
      <w:r w:rsidR="00A46BF2" w:rsidRPr="003E3A76">
        <w:t xml:space="preserve"> </w:t>
      </w:r>
      <w:r>
        <w:t>mesindussektori</w:t>
      </w:r>
      <w:r w:rsidR="00B24457">
        <w:t>sse</w:t>
      </w:r>
      <w:r>
        <w:t xml:space="preserve"> sekkumis</w:t>
      </w:r>
      <w:r w:rsidR="00B24457">
        <w:t xml:space="preserve">e </w:t>
      </w:r>
      <w:r>
        <w:t>viise</w:t>
      </w:r>
      <w:r w:rsidR="00A46BF2" w:rsidRPr="003E3A76">
        <w:t xml:space="preserve">: 1) </w:t>
      </w:r>
      <w:r w:rsidR="00A46BF2" w:rsidRPr="003E3A76">
        <w:rPr>
          <w:noProof/>
        </w:rPr>
        <w:t>mesinike teadmiste ja oskuste parandamine ning tehniline abi; 2) materiaalsed ja mittemateriaalsed investeeringud</w:t>
      </w:r>
      <w:r w:rsidRPr="003E3A76">
        <w:rPr>
          <w:noProof/>
        </w:rPr>
        <w:t xml:space="preserve"> mesilashaiguste </w:t>
      </w:r>
      <w:r w:rsidR="009A68C6">
        <w:rPr>
          <w:noProof/>
        </w:rPr>
        <w:t xml:space="preserve">seireks, </w:t>
      </w:r>
      <w:r w:rsidRPr="003E3A76">
        <w:rPr>
          <w:noProof/>
        </w:rPr>
        <w:t>enne</w:t>
      </w:r>
      <w:r w:rsidR="009A68C6">
        <w:rPr>
          <w:noProof/>
        </w:rPr>
        <w:t xml:space="preserve">tamiseks </w:t>
      </w:r>
      <w:r w:rsidRPr="003E3A76">
        <w:rPr>
          <w:noProof/>
        </w:rPr>
        <w:t>ja tõrjeks</w:t>
      </w:r>
      <w:r w:rsidR="009A68C6">
        <w:rPr>
          <w:noProof/>
        </w:rPr>
        <w:t xml:space="preserve"> ning kahjurite tõrjeks</w:t>
      </w:r>
      <w:r w:rsidRPr="003E3A76">
        <w:rPr>
          <w:noProof/>
        </w:rPr>
        <w:t>; 3) analüüse tegevate laboratooriumite toetamine</w:t>
      </w:r>
      <w:r w:rsidR="00A46BF2" w:rsidRPr="003E3A76">
        <w:rPr>
          <w:noProof/>
        </w:rPr>
        <w:t>;</w:t>
      </w:r>
      <w:r w:rsidRPr="003E3A76">
        <w:rPr>
          <w:noProof/>
        </w:rPr>
        <w:t xml:space="preserve"> 4) koostöö teadusasutustega; 5) tarbijate teadlikkuse tõstmine.</w:t>
      </w:r>
    </w:p>
    <w:p w14:paraId="3DF00F5F" w14:textId="6F500E75" w:rsidR="00BF28D2" w:rsidRDefault="00BF28D2" w:rsidP="000C7F10">
      <w:pPr>
        <w:jc w:val="both"/>
      </w:pPr>
    </w:p>
    <w:p w14:paraId="71E8D572" w14:textId="6E38FF97" w:rsidR="00C0287B" w:rsidRDefault="00C738F6" w:rsidP="00C0287B">
      <w:pPr>
        <w:jc w:val="both"/>
      </w:pPr>
      <w:r>
        <w:rPr>
          <w:noProof/>
        </w:rPr>
        <w:t>Mesinike teadmisi ja oskusi on võimalik parandada</w:t>
      </w:r>
      <w:r w:rsidR="00E27D3F">
        <w:rPr>
          <w:noProof/>
        </w:rPr>
        <w:t>,</w:t>
      </w:r>
      <w:r>
        <w:rPr>
          <w:noProof/>
        </w:rPr>
        <w:t xml:space="preserve"> </w:t>
      </w:r>
      <w:r w:rsidR="00E27D3F">
        <w:rPr>
          <w:noProof/>
        </w:rPr>
        <w:t xml:space="preserve">tõstes nende teadlikkust mesilashaigustest ja bioohutusmeetmetest, vahetades infot ja parimaid mesinduspraktikaid, sealhulgas rahvusvahelisel tasemel, ning pakkudes täiendkoolitust ja koolitades välja uusi mesinikke. Uued ja paremad teadmised </w:t>
      </w:r>
      <w:r w:rsidR="00455B8F">
        <w:rPr>
          <w:noProof/>
        </w:rPr>
        <w:t xml:space="preserve">ja oskused avavad </w:t>
      </w:r>
      <w:r w:rsidR="00E27D3F">
        <w:rPr>
          <w:noProof/>
        </w:rPr>
        <w:t xml:space="preserve">mesinikele rohkem võimalusi võtta oma tegevuses riskide vähendamiseks ja efektiivsuse suurendamiseks vastu õigeid otsuseid, vähendades seeläbi mesilashaiguste levikut ja suurendades meetootmise majanduslikku tasuvust. Uute </w:t>
      </w:r>
      <w:r w:rsidR="005A25C1">
        <w:rPr>
          <w:noProof/>
        </w:rPr>
        <w:t xml:space="preserve">ja eelkõige noorte </w:t>
      </w:r>
      <w:r w:rsidR="00E27D3F">
        <w:rPr>
          <w:noProof/>
        </w:rPr>
        <w:t xml:space="preserve">mesinike kaasamine ja väljakoolitamine aitab kaasa mesinike kõrge keskmise vanuse langusele. </w:t>
      </w:r>
      <w:r w:rsidR="00EF3959">
        <w:rPr>
          <w:noProof/>
        </w:rPr>
        <w:t xml:space="preserve">Mesinike koordineeritud abistamine võitluses mesilashaigustega aitab vähendada nende haiguste levikut ja mesilaste hukkumist. Terved ja tugevad mesilaspered on meetootmise </w:t>
      </w:r>
      <w:r w:rsidR="00EF3959">
        <w:rPr>
          <w:noProof/>
        </w:rPr>
        <w:lastRenderedPageBreak/>
        <w:t>majandusliku tasuvuse eelduseks.</w:t>
      </w:r>
      <w:r w:rsidR="00D67F35">
        <w:t xml:space="preserve"> </w:t>
      </w:r>
      <w:r w:rsidR="0045009D" w:rsidRPr="0045009D">
        <w:t>Samuti lisavad terved ja tugevad mesilaspered ümbritseva piirkonna õistaimede tolmeldamisel saagikust, millel on kultuurtaimede puhul otsene mõju majanduslikule tulemusele, looduslike taimede puhul keskkonda tugevdav ja liigirikkust säilitav mõju.</w:t>
      </w:r>
      <w:r w:rsidR="0045009D">
        <w:t xml:space="preserve"> </w:t>
      </w:r>
      <w:r w:rsidR="00D90370" w:rsidRPr="00D90370">
        <w:rPr>
          <w:noProof/>
        </w:rPr>
        <w:t>M</w:t>
      </w:r>
      <w:r w:rsidR="00EF3959" w:rsidRPr="00D90370">
        <w:rPr>
          <w:noProof/>
        </w:rPr>
        <w:t xml:space="preserve">esilashaiguste ja mesindustoodete kvaliteedi analüüsimisel saadavat infot </w:t>
      </w:r>
      <w:r w:rsidR="00D90370" w:rsidRPr="00D90370">
        <w:rPr>
          <w:noProof/>
        </w:rPr>
        <w:t xml:space="preserve">saab </w:t>
      </w:r>
      <w:r w:rsidR="00EF3959" w:rsidRPr="00D90370">
        <w:rPr>
          <w:noProof/>
        </w:rPr>
        <w:t xml:space="preserve">lisaks olukorrast ülevaate saamisele </w:t>
      </w:r>
      <w:r w:rsidR="00D90370" w:rsidRPr="00D90370">
        <w:rPr>
          <w:noProof/>
        </w:rPr>
        <w:t xml:space="preserve">kasutada </w:t>
      </w:r>
      <w:r w:rsidR="00EF3959" w:rsidRPr="00D90370">
        <w:rPr>
          <w:noProof/>
        </w:rPr>
        <w:t>ka mesilashaigustele võimalike vastumeetmete väljatöötamiseks ning mesindustoodete kvaliteedi parandamiseks. Mesilashaiguste analüüsimine aitab mesilashaiguste levikut piirata ja suurendab sellega ka meetootmise majanduslikku tasuvust, mesindustoodete kvaliteedi analüüsimine aitab aga kaasa üldise kvaliteedi ja seeläbi ka majandusliku tasuvuse kasvule.</w:t>
      </w:r>
      <w:r w:rsidR="00D67F35">
        <w:t xml:space="preserve"> </w:t>
      </w:r>
      <w:r w:rsidR="00DC3285">
        <w:rPr>
          <w:noProof/>
        </w:rPr>
        <w:t>Teadusasutustega tehtav koostöö võimaldab mesilashaiguste ja majandusliku tasuvuse osas saada uusi ja põhjalikke teadmisi, mis panustavad mesilashaiguste leviku piiramiseks ja majandusliku tasuvuse parandamiseks suunatud seniste meetmete täiustamisele või uute meetmete väljatöötamisele.</w:t>
      </w:r>
      <w:r w:rsidR="00D67F35">
        <w:t xml:space="preserve"> </w:t>
      </w:r>
      <w:r w:rsidR="005A25C1" w:rsidRPr="005A25C1">
        <w:t>Teadus- ja haridusasutuste vaheline koostöö võimaldab uuematel teadmistel levida mesindusega tegelevate isikute ja mesindushar</w:t>
      </w:r>
      <w:r w:rsidR="005A25C1">
        <w:t>idust omandavate isikute hulgas ning</w:t>
      </w:r>
      <w:r w:rsidR="005A25C1" w:rsidRPr="005A25C1">
        <w:t xml:space="preserve"> parandada õppe kvaliteeti.</w:t>
      </w:r>
      <w:r w:rsidR="005A25C1">
        <w:t xml:space="preserve"> </w:t>
      </w:r>
      <w:r w:rsidR="00FC6F73">
        <w:rPr>
          <w:noProof/>
        </w:rPr>
        <w:t>Tarbijate parem teadlikkus mee ja meetoodete omadustest, kvaliteedist ja kasutamise võimalustest suurendab nõudlust mee ja meetoodete järele ning parandab seeläbi meetootmise majanduslikku tasuvust.</w:t>
      </w:r>
    </w:p>
    <w:p w14:paraId="7A34984C" w14:textId="184EF391" w:rsidR="006E5773" w:rsidRDefault="006E5773" w:rsidP="00FC6F73">
      <w:pPr>
        <w:jc w:val="both"/>
      </w:pPr>
    </w:p>
    <w:p w14:paraId="67723453" w14:textId="5F5D4AFF" w:rsidR="007218C2" w:rsidRDefault="0074059E" w:rsidP="00FC6F73">
      <w:pPr>
        <w:jc w:val="both"/>
      </w:pPr>
      <w:r w:rsidRPr="009D39B0">
        <w:rPr>
          <w:rFonts w:eastAsiaTheme="minorHAnsi"/>
        </w:rPr>
        <w:t xml:space="preserve">Toetusel on kaudne positiivne mõju </w:t>
      </w:r>
      <w:r w:rsidR="00DA792B">
        <w:rPr>
          <w:rFonts w:eastAsiaTheme="minorHAnsi"/>
        </w:rPr>
        <w:t xml:space="preserve">elu- ja looduskeskkonnale, </w:t>
      </w:r>
      <w:r w:rsidRPr="009D39B0">
        <w:rPr>
          <w:rFonts w:eastAsiaTheme="minorHAnsi"/>
        </w:rPr>
        <w:t>regionaalarengule</w:t>
      </w:r>
      <w:r w:rsidR="00DA792B">
        <w:rPr>
          <w:rFonts w:eastAsiaTheme="minorHAnsi"/>
        </w:rPr>
        <w:t xml:space="preserve"> ning rahvatervisele</w:t>
      </w:r>
      <w:r w:rsidR="007A4CD7">
        <w:rPr>
          <w:rFonts w:eastAsiaTheme="minorHAnsi"/>
        </w:rPr>
        <w:t xml:space="preserve">. </w:t>
      </w:r>
      <w:r w:rsidR="0012142C">
        <w:rPr>
          <w:rFonts w:eastAsiaTheme="minorHAnsi"/>
        </w:rPr>
        <w:t xml:space="preserve">Mesilastel on </w:t>
      </w:r>
      <w:r w:rsidR="002E6A85">
        <w:rPr>
          <w:rFonts w:eastAsiaTheme="minorHAnsi"/>
        </w:rPr>
        <w:t xml:space="preserve">õistaimede tolmeldajatena </w:t>
      </w:r>
      <w:r w:rsidR="00BB17EC">
        <w:rPr>
          <w:rFonts w:eastAsiaTheme="minorHAnsi"/>
        </w:rPr>
        <w:t>bioloog</w:t>
      </w:r>
      <w:r w:rsidR="00A53C6B">
        <w:rPr>
          <w:rFonts w:eastAsiaTheme="minorHAnsi"/>
        </w:rPr>
        <w:t>ilise mitmekesisuse säilimise osas</w:t>
      </w:r>
      <w:r w:rsidR="00A53C6B" w:rsidRPr="00A53C6B">
        <w:rPr>
          <w:rFonts w:eastAsiaTheme="minorHAnsi"/>
        </w:rPr>
        <w:t xml:space="preserve"> </w:t>
      </w:r>
      <w:r w:rsidR="00A53C6B">
        <w:rPr>
          <w:rFonts w:eastAsiaTheme="minorHAnsi"/>
        </w:rPr>
        <w:t>oluline roll</w:t>
      </w:r>
      <w:r w:rsidR="00BB17EC">
        <w:rPr>
          <w:rFonts w:eastAsiaTheme="minorHAnsi"/>
        </w:rPr>
        <w:t>. Paljude taimed</w:t>
      </w:r>
      <w:r w:rsidR="00300EB3">
        <w:rPr>
          <w:rFonts w:eastAsiaTheme="minorHAnsi"/>
        </w:rPr>
        <w:t>e püsimajäämine ning</w:t>
      </w:r>
      <w:r w:rsidR="00BB17EC">
        <w:rPr>
          <w:rFonts w:eastAsiaTheme="minorHAnsi"/>
        </w:rPr>
        <w:t xml:space="preserve"> ka</w:t>
      </w:r>
      <w:r w:rsidR="0012142C" w:rsidRPr="0012142C">
        <w:rPr>
          <w:rFonts w:eastAsiaTheme="minorHAnsi"/>
        </w:rPr>
        <w:t xml:space="preserve"> kultuurtaimede saagi suurus </w:t>
      </w:r>
      <w:r w:rsidR="002E6A85">
        <w:rPr>
          <w:rFonts w:eastAsiaTheme="minorHAnsi"/>
        </w:rPr>
        <w:t xml:space="preserve">sõltub </w:t>
      </w:r>
      <w:r w:rsidR="0012142C" w:rsidRPr="0012142C">
        <w:rPr>
          <w:rFonts w:eastAsiaTheme="minorHAnsi"/>
        </w:rPr>
        <w:t>just mesilastest.</w:t>
      </w:r>
      <w:r w:rsidR="002E6A85" w:rsidRPr="002E6A85">
        <w:t xml:space="preserve"> </w:t>
      </w:r>
      <w:r w:rsidR="00BB17EC">
        <w:t>Mesindussektori konkurentsivõime</w:t>
      </w:r>
      <w:r w:rsidR="00300EB3">
        <w:t xml:space="preserve"> ja turule orienteerituse</w:t>
      </w:r>
      <w:r w:rsidR="00BB17EC">
        <w:t xml:space="preserve"> suurenda</w:t>
      </w:r>
      <w:r w:rsidR="00300EB3">
        <w:t>mine tõstab mesi</w:t>
      </w:r>
      <w:r w:rsidR="00A53C6B">
        <w:t>nduse majanduslikku tasuvust, stimuleerides</w:t>
      </w:r>
      <w:r w:rsidR="00300EB3">
        <w:t xml:space="preserve"> </w:t>
      </w:r>
      <w:r w:rsidR="00A53C6B">
        <w:t>sellega</w:t>
      </w:r>
      <w:r w:rsidR="00300EB3">
        <w:t xml:space="preserve"> </w:t>
      </w:r>
      <w:r w:rsidR="00D422D3">
        <w:t>mesindusega tegelemist</w:t>
      </w:r>
      <w:r w:rsidR="00A53C6B">
        <w:t xml:space="preserve"> ning </w:t>
      </w:r>
      <w:r w:rsidR="00300EB3">
        <w:t xml:space="preserve">mesilaste arvukuse säilimist või isegi </w:t>
      </w:r>
      <w:r w:rsidR="00A53C6B">
        <w:t>suurenemist</w:t>
      </w:r>
      <w:r w:rsidR="00300EB3">
        <w:t>. Re</w:t>
      </w:r>
      <w:r w:rsidR="00E369BA">
        <w:t>gionaalsest aspektist annab</w:t>
      </w:r>
      <w:r w:rsidR="00300EB3">
        <w:t xml:space="preserve"> </w:t>
      </w:r>
      <w:r w:rsidR="00E369BA">
        <w:t xml:space="preserve">toetus </w:t>
      </w:r>
      <w:r w:rsidR="001257E5">
        <w:t xml:space="preserve">mesinduse majandusliku tasuvuse tõstmise kaudu </w:t>
      </w:r>
      <w:r w:rsidR="00E369BA">
        <w:t>panuse</w:t>
      </w:r>
      <w:r w:rsidR="00A53C6B">
        <w:t xml:space="preserve"> </w:t>
      </w:r>
      <w:r w:rsidR="00E369BA">
        <w:t xml:space="preserve"> maapiirkondade üldisele edenemisele, sealhulgas </w:t>
      </w:r>
      <w:r w:rsidR="00A53C6B">
        <w:t xml:space="preserve">olemasolevate töökohtade </w:t>
      </w:r>
      <w:r w:rsidR="00E369BA">
        <w:t>säilimisele</w:t>
      </w:r>
      <w:r w:rsidR="00A53C6B">
        <w:t xml:space="preserve"> ja</w:t>
      </w:r>
      <w:r w:rsidR="00E369BA">
        <w:t xml:space="preserve"> uute töökohtade loomise</w:t>
      </w:r>
      <w:r w:rsidR="001257E5">
        <w:t>le.</w:t>
      </w:r>
      <w:r w:rsidR="00A53C6B">
        <w:t xml:space="preserve"> </w:t>
      </w:r>
      <w:r w:rsidR="009853B3">
        <w:t>Rahvatervisele avaldavad soodsat mõju</w:t>
      </w:r>
      <w:r w:rsidR="0090495B">
        <w:t xml:space="preserve"> mesindussektori</w:t>
      </w:r>
      <w:r w:rsidR="00B24457">
        <w:t>sse</w:t>
      </w:r>
      <w:r w:rsidR="0090495B">
        <w:t xml:space="preserve"> sekkumise</w:t>
      </w:r>
      <w:r w:rsidR="007218C2">
        <w:t xml:space="preserve"> raames </w:t>
      </w:r>
      <w:r w:rsidR="009853B3">
        <w:t xml:space="preserve">tarbijate teadlikkuse parandamisele suunatud tegevused, mis tutvustavad </w:t>
      </w:r>
      <w:r w:rsidR="00EC5856">
        <w:t xml:space="preserve">mee ja meetoodete </w:t>
      </w:r>
      <w:r w:rsidR="009853B3">
        <w:t>omadusi, kvaliteeti ja kasutamise võimalusi</w:t>
      </w:r>
      <w:r w:rsidR="0090495B">
        <w:t>.</w:t>
      </w:r>
      <w:r w:rsidR="00EC5856">
        <w:t xml:space="preserve"> </w:t>
      </w:r>
      <w:r w:rsidR="007218C2">
        <w:t xml:space="preserve"> </w:t>
      </w:r>
    </w:p>
    <w:p w14:paraId="0BFBFBC8" w14:textId="77777777" w:rsidR="007218C2" w:rsidRDefault="007218C2" w:rsidP="00FC6F73">
      <w:pPr>
        <w:jc w:val="both"/>
      </w:pPr>
    </w:p>
    <w:p w14:paraId="4840ACFF" w14:textId="25D45C2A" w:rsidR="0090495B" w:rsidRPr="009853B3" w:rsidRDefault="007A6EF1" w:rsidP="0090495B">
      <w:pPr>
        <w:jc w:val="both"/>
        <w:rPr>
          <w:rFonts w:eastAsiaTheme="minorHAnsi"/>
          <w:bCs/>
        </w:rPr>
      </w:pPr>
      <w:r w:rsidRPr="002C56E1">
        <w:t xml:space="preserve">Määruse kehtestamine ei too kaasa organisatsioonilisi muudatusi avalikus sektoris. </w:t>
      </w:r>
      <w:r w:rsidRPr="009D39B0">
        <w:rPr>
          <w:rFonts w:eastAsiaTheme="minorHAnsi"/>
          <w:bCs/>
        </w:rPr>
        <w:t>Toetuse rakendamine ei too kaasa uute töökohta</w:t>
      </w:r>
      <w:r>
        <w:rPr>
          <w:rFonts w:eastAsiaTheme="minorHAnsi"/>
          <w:bCs/>
        </w:rPr>
        <w:t>de</w:t>
      </w:r>
      <w:r w:rsidR="000A3A72">
        <w:rPr>
          <w:rFonts w:eastAsiaTheme="minorHAnsi"/>
          <w:bCs/>
        </w:rPr>
        <w:t xml:space="preserve"> loomise vajadust, kuna eelnevatel EL eelarveperioodidel</w:t>
      </w:r>
      <w:r w:rsidRPr="009D39B0">
        <w:rPr>
          <w:rFonts w:eastAsiaTheme="minorHAnsi"/>
          <w:bCs/>
        </w:rPr>
        <w:t xml:space="preserve"> on </w:t>
      </w:r>
      <w:r>
        <w:rPr>
          <w:rFonts w:eastAsiaTheme="minorHAnsi"/>
          <w:bCs/>
        </w:rPr>
        <w:t>rakendatud mesindussektori</w:t>
      </w:r>
      <w:r w:rsidR="00B24457">
        <w:rPr>
          <w:rFonts w:eastAsiaTheme="minorHAnsi"/>
          <w:bCs/>
        </w:rPr>
        <w:t>sse</w:t>
      </w:r>
      <w:r>
        <w:rPr>
          <w:rFonts w:eastAsiaTheme="minorHAnsi"/>
          <w:bCs/>
        </w:rPr>
        <w:t xml:space="preserve"> sekkumisega samalaadset mesindusprogrammide toetusmeedet</w:t>
      </w:r>
      <w:r w:rsidRPr="009D39B0">
        <w:rPr>
          <w:rFonts w:eastAsiaTheme="minorHAnsi"/>
          <w:bCs/>
        </w:rPr>
        <w:t>.</w:t>
      </w:r>
      <w:r w:rsidR="009853B3">
        <w:rPr>
          <w:rFonts w:eastAsiaTheme="minorHAnsi"/>
          <w:bCs/>
        </w:rPr>
        <w:t xml:space="preserve"> </w:t>
      </w:r>
      <w:r w:rsidR="002A4AD3">
        <w:t xml:space="preserve">Teatud tegevuste </w:t>
      </w:r>
      <w:r w:rsidR="00262847">
        <w:t xml:space="preserve">(teabe- ja õppepäeva ning kursuse </w:t>
      </w:r>
      <w:r w:rsidR="009853B3">
        <w:t>korraldamine, teabe- ja õppepäeval ning kursusel lektori poolt loengu pidamine</w:t>
      </w:r>
      <w:r w:rsidR="00262847">
        <w:t>, u</w:t>
      </w:r>
      <w:r w:rsidR="00262847" w:rsidRPr="00262847">
        <w:t>saldusmesiniku poolt mesiniku juures koha</w:t>
      </w:r>
      <w:r w:rsidR="009853B3">
        <w:t>peal nõustamisteenuse osutamine)</w:t>
      </w:r>
      <w:r w:rsidR="00262847" w:rsidRPr="00262847">
        <w:t xml:space="preserve"> </w:t>
      </w:r>
      <w:r w:rsidR="009853B3">
        <w:t xml:space="preserve">puhul </w:t>
      </w:r>
      <w:r w:rsidR="002A4AD3">
        <w:t>t</w:t>
      </w:r>
      <w:r w:rsidR="009853B3">
        <w:t>oetuse maksmine</w:t>
      </w:r>
      <w:r w:rsidR="002A4AD3">
        <w:t xml:space="preserve"> lihtsustatud kulumeetodi alusel</w:t>
      </w:r>
      <w:r w:rsidR="009853B3">
        <w:t xml:space="preserve"> võimaldab vähendada toetuse andmisega seotud halduskoormust.</w:t>
      </w:r>
    </w:p>
    <w:p w14:paraId="52D8E7F8" w14:textId="77777777" w:rsidR="00D422D3" w:rsidRDefault="00D422D3" w:rsidP="00D422D3">
      <w:pPr>
        <w:jc w:val="both"/>
      </w:pPr>
    </w:p>
    <w:p w14:paraId="407FEEE2" w14:textId="3B857779" w:rsidR="00FC6F73" w:rsidRDefault="00D422D3" w:rsidP="00FC6F73">
      <w:pPr>
        <w:jc w:val="both"/>
      </w:pPr>
      <w:r w:rsidRPr="002C56E1">
        <w:t xml:space="preserve">Määruse rakendamisega ei kaasne mõju </w:t>
      </w:r>
      <w:r>
        <w:t xml:space="preserve">riigi julgeolekule ja </w:t>
      </w:r>
      <w:r w:rsidRPr="002C56E1">
        <w:t>välissuhetele, samuti kohaliku omavalitsuse korraldusele.</w:t>
      </w:r>
      <w:r>
        <w:t xml:space="preserve"> </w:t>
      </w:r>
      <w:r w:rsidR="00FC6F73">
        <w:t xml:space="preserve"> </w:t>
      </w:r>
    </w:p>
    <w:p w14:paraId="4182583D" w14:textId="77777777" w:rsidR="00FC6F73" w:rsidRPr="001B2E0A" w:rsidRDefault="00FC6F73" w:rsidP="00C0287B">
      <w:pPr>
        <w:jc w:val="both"/>
      </w:pPr>
    </w:p>
    <w:p w14:paraId="00C407E8" w14:textId="25B121C2" w:rsidR="002D6483" w:rsidRPr="002D6483" w:rsidRDefault="002D6483" w:rsidP="002D6483">
      <w:pPr>
        <w:jc w:val="both"/>
        <w:rPr>
          <w:b/>
          <w:bCs/>
        </w:rPr>
      </w:pPr>
      <w:r w:rsidRPr="002D6483">
        <w:rPr>
          <w:b/>
          <w:bCs/>
        </w:rPr>
        <w:t>5. Määruse rakendamisega seot</w:t>
      </w:r>
      <w:r w:rsidR="000F3352">
        <w:rPr>
          <w:b/>
          <w:bCs/>
        </w:rPr>
        <w:t>ud tegevused, vajalikud kulu</w:t>
      </w:r>
      <w:r w:rsidRPr="002D6483">
        <w:rPr>
          <w:b/>
          <w:bCs/>
        </w:rPr>
        <w:t>d ja määruse</w:t>
      </w:r>
    </w:p>
    <w:p w14:paraId="7B700899" w14:textId="77777777" w:rsidR="002D6483" w:rsidRDefault="002D6483" w:rsidP="002D6483">
      <w:pPr>
        <w:jc w:val="both"/>
        <w:rPr>
          <w:b/>
          <w:bCs/>
        </w:rPr>
      </w:pPr>
      <w:r w:rsidRPr="002D6483">
        <w:rPr>
          <w:b/>
          <w:bCs/>
        </w:rPr>
        <w:t>rakendamise eeldatavad tulud</w:t>
      </w:r>
    </w:p>
    <w:p w14:paraId="1406D411" w14:textId="77777777" w:rsidR="002D6483" w:rsidRDefault="002D6483" w:rsidP="002D6483">
      <w:pPr>
        <w:jc w:val="both"/>
        <w:rPr>
          <w:b/>
          <w:bCs/>
        </w:rPr>
      </w:pPr>
    </w:p>
    <w:p w14:paraId="5DFC984E" w14:textId="224DD7F0" w:rsidR="00F850EE" w:rsidRDefault="005B13BB" w:rsidP="002D6483">
      <w:pPr>
        <w:jc w:val="both"/>
        <w:rPr>
          <w:noProof/>
        </w:rPr>
      </w:pPr>
      <w:r>
        <w:t>Mesindussektori</w:t>
      </w:r>
      <w:r w:rsidR="00B24457">
        <w:t>sse</w:t>
      </w:r>
      <w:r>
        <w:t xml:space="preserve"> sekkumise toetust rahastatakse 50</w:t>
      </w:r>
      <w:r w:rsidR="00DD309A">
        <w:t xml:space="preserve">% ulatuses </w:t>
      </w:r>
      <w:r w:rsidR="00F850EE" w:rsidRPr="00741ABD">
        <w:t>Euroopa Põllumajanduse Tagatisfondist (EAGF)</w:t>
      </w:r>
      <w:r w:rsidR="00F850EE">
        <w:t xml:space="preserve"> ning 50</w:t>
      </w:r>
      <w:r w:rsidR="00D674B5">
        <w:t xml:space="preserve">% ulatuses Eesti </w:t>
      </w:r>
      <w:r w:rsidR="00DD309A">
        <w:t xml:space="preserve">riigieelarvest. </w:t>
      </w:r>
      <w:r w:rsidR="00F850EE">
        <w:rPr>
          <w:noProof/>
        </w:rPr>
        <w:t>Mesindussektori</w:t>
      </w:r>
      <w:r w:rsidR="00B24457">
        <w:rPr>
          <w:noProof/>
        </w:rPr>
        <w:t>sse</w:t>
      </w:r>
      <w:r w:rsidR="00F850EE">
        <w:rPr>
          <w:noProof/>
        </w:rPr>
        <w:t xml:space="preserve"> sekkumise </w:t>
      </w:r>
      <w:r w:rsidR="00D674B5">
        <w:rPr>
          <w:noProof/>
        </w:rPr>
        <w:t xml:space="preserve">eelarve on 280 946 eurot eelarveaasta kohta ning 1 404 730 eurot </w:t>
      </w:r>
      <w:r w:rsidR="00F850EE">
        <w:rPr>
          <w:noProof/>
        </w:rPr>
        <w:t xml:space="preserve">perioodi </w:t>
      </w:r>
      <w:r w:rsidR="00D674B5">
        <w:rPr>
          <w:noProof/>
        </w:rPr>
        <w:t>2023–2027 peale kokku</w:t>
      </w:r>
      <w:r w:rsidR="00F850EE">
        <w:rPr>
          <w:noProof/>
        </w:rPr>
        <w:t>.</w:t>
      </w:r>
      <w:r w:rsidR="00D674B5" w:rsidRPr="00D674B5">
        <w:t xml:space="preserve"> </w:t>
      </w:r>
      <w:r w:rsidR="0074673F">
        <w:t>Eelarveaasta kohta ettenähtud eelarve jaguneb mesindussektori</w:t>
      </w:r>
      <w:r w:rsidR="00B24457">
        <w:t>sse</w:t>
      </w:r>
      <w:r w:rsidR="0074673F">
        <w:t xml:space="preserve"> sekkumis</w:t>
      </w:r>
      <w:r w:rsidR="00B24457">
        <w:t xml:space="preserve">e </w:t>
      </w:r>
      <w:r w:rsidR="0074673F">
        <w:t xml:space="preserve">viiside vahel </w:t>
      </w:r>
      <w:r w:rsidR="00D674B5">
        <w:t xml:space="preserve">ELÜPS § 11 lõike 3 alusel maaeluministri käskkirjaga antud </w:t>
      </w:r>
      <w:r w:rsidR="0074673F">
        <w:t>summas.</w:t>
      </w:r>
    </w:p>
    <w:p w14:paraId="49D3A9B0" w14:textId="77777777" w:rsidR="00F850EE" w:rsidRDefault="00F850EE" w:rsidP="002D6483">
      <w:pPr>
        <w:jc w:val="both"/>
      </w:pPr>
    </w:p>
    <w:p w14:paraId="3C7FEF06" w14:textId="0408AD1E" w:rsidR="002D6483" w:rsidRDefault="002D6483" w:rsidP="002D6483">
      <w:pPr>
        <w:jc w:val="both"/>
        <w:rPr>
          <w:b/>
          <w:bCs/>
        </w:rPr>
      </w:pPr>
      <w:r w:rsidRPr="002D6483">
        <w:rPr>
          <w:b/>
          <w:bCs/>
        </w:rPr>
        <w:t>6. Määruse jõustumine</w:t>
      </w:r>
    </w:p>
    <w:p w14:paraId="13019C8A" w14:textId="77777777" w:rsidR="002D6483" w:rsidRPr="002D6483" w:rsidRDefault="002D6483" w:rsidP="002D6483">
      <w:pPr>
        <w:jc w:val="both"/>
        <w:rPr>
          <w:b/>
          <w:bCs/>
        </w:rPr>
      </w:pPr>
    </w:p>
    <w:p w14:paraId="3FDF0810" w14:textId="1010FDE7" w:rsidR="002D6483" w:rsidRDefault="004953DD" w:rsidP="002D6483">
      <w:pPr>
        <w:jc w:val="both"/>
      </w:pPr>
      <w:r>
        <w:t>Määrus jõustub üldises korras</w:t>
      </w:r>
      <w:r w:rsidR="0060581A">
        <w:t>.</w:t>
      </w:r>
    </w:p>
    <w:p w14:paraId="6A4534E9" w14:textId="77777777" w:rsidR="002D6483" w:rsidRPr="002D6483" w:rsidRDefault="002D6483" w:rsidP="002D6483">
      <w:pPr>
        <w:jc w:val="both"/>
      </w:pPr>
    </w:p>
    <w:p w14:paraId="7C0BCC72" w14:textId="77777777" w:rsidR="002D6483" w:rsidRDefault="002D6483" w:rsidP="002D6483">
      <w:pPr>
        <w:jc w:val="both"/>
        <w:rPr>
          <w:b/>
          <w:bCs/>
        </w:rPr>
      </w:pPr>
      <w:r w:rsidRPr="002D6483">
        <w:rPr>
          <w:b/>
          <w:bCs/>
        </w:rPr>
        <w:t>7. Eelnõu kooskõlastamine, huvirühmade kaasamine ja avalik konsultatsioon</w:t>
      </w:r>
    </w:p>
    <w:p w14:paraId="6BAF30A4" w14:textId="77777777" w:rsidR="002D6483" w:rsidRPr="002D6483" w:rsidRDefault="002D6483" w:rsidP="002D6483">
      <w:pPr>
        <w:jc w:val="both"/>
        <w:rPr>
          <w:b/>
          <w:bCs/>
        </w:rPr>
      </w:pPr>
    </w:p>
    <w:p w14:paraId="06950D82" w14:textId="6825B2F8" w:rsidR="002F59BE" w:rsidRPr="000C65EB" w:rsidRDefault="002F59BE" w:rsidP="002F59BE">
      <w:pPr>
        <w:jc w:val="both"/>
        <w:rPr>
          <w:bCs/>
        </w:rPr>
      </w:pPr>
      <w:r w:rsidRPr="00F331A4">
        <w:rPr>
          <w:bCs/>
        </w:rPr>
        <w:lastRenderedPageBreak/>
        <w:t>Eelnõu on koostatud koostöös PRIA-ga</w:t>
      </w:r>
      <w:r>
        <w:rPr>
          <w:bCs/>
        </w:rPr>
        <w:t xml:space="preserve"> ja mesindussektori esindusorganisatsioonidega</w:t>
      </w:r>
      <w:r w:rsidR="0041560C">
        <w:rPr>
          <w:bCs/>
        </w:rPr>
        <w:t xml:space="preserve"> (</w:t>
      </w:r>
      <w:r w:rsidR="0041560C" w:rsidRPr="0041560C">
        <w:rPr>
          <w:bCs/>
        </w:rPr>
        <w:t>Eesti Mesinike Liit, Ees</w:t>
      </w:r>
      <w:r w:rsidR="0041560C">
        <w:rPr>
          <w:bCs/>
        </w:rPr>
        <w:t xml:space="preserve">ti Kutseliste Mesinike Ühing, </w:t>
      </w:r>
      <w:r w:rsidR="0041560C" w:rsidRPr="0041560C">
        <w:rPr>
          <w:bCs/>
        </w:rPr>
        <w:t>Saaremaa Meetootjate Ühing</w:t>
      </w:r>
      <w:r w:rsidR="0041560C">
        <w:rPr>
          <w:bCs/>
        </w:rPr>
        <w:t>, Eesti Mesilaste Tõuaretajate Selts, Põltsamaa Mesinike Selts, jt)</w:t>
      </w:r>
      <w:r w:rsidRPr="00F331A4">
        <w:rPr>
          <w:bCs/>
        </w:rPr>
        <w:t>.</w:t>
      </w:r>
      <w:r w:rsidRPr="000C65EB">
        <w:t xml:space="preserve"> </w:t>
      </w:r>
      <w:r>
        <w:t>Mesindussektori</w:t>
      </w:r>
      <w:r w:rsidR="00B24457">
        <w:t>sse</w:t>
      </w:r>
      <w:r>
        <w:t xml:space="preserve"> sekkumise toetuse andmise aluseks olevas ÜPP strateegiakavas sisalduv mesindussektori</w:t>
      </w:r>
      <w:r w:rsidR="00B24457">
        <w:t>sse</w:t>
      </w:r>
      <w:r>
        <w:t xml:space="preserve"> sekkumise eesmärk ning sekkumisviisid selgitati välja </w:t>
      </w:r>
      <w:r w:rsidRPr="003C7309">
        <w:t>mesindus</w:t>
      </w:r>
      <w:r>
        <w:t>sektori esindus</w:t>
      </w:r>
      <w:r w:rsidRPr="003C7309">
        <w:t xml:space="preserve">organisatsioonide </w:t>
      </w:r>
      <w:r w:rsidR="00983AB2">
        <w:t>(</w:t>
      </w:r>
      <w:r w:rsidR="00983AB2" w:rsidRPr="00983AB2">
        <w:t>Eesti Mesinike Liit, Eesti Kutseliste Mesinike Ühing ja Saaremaa Meetootjate Ühing</w:t>
      </w:r>
      <w:r w:rsidR="00983AB2">
        <w:t xml:space="preserve">) </w:t>
      </w:r>
      <w:r w:rsidRPr="003C7309">
        <w:t>esitatud ettepanekute põhjal</w:t>
      </w:r>
      <w:r>
        <w:t xml:space="preserve"> m</w:t>
      </w:r>
      <w:r w:rsidRPr="004A47A1">
        <w:t xml:space="preserve">aaeluministeeriumi juhtimisel </w:t>
      </w:r>
      <w:r>
        <w:t xml:space="preserve">ÜPP strateegiakava </w:t>
      </w:r>
      <w:r w:rsidRPr="003C7309">
        <w:t>ettevalmistamisel toimunud arutelude käigus</w:t>
      </w:r>
      <w:r>
        <w:t>.</w:t>
      </w:r>
      <w:r w:rsidRPr="000C65EB">
        <w:rPr>
          <w:bCs/>
        </w:rPr>
        <w:t xml:space="preserve"> </w:t>
      </w:r>
    </w:p>
    <w:p w14:paraId="7AEF5624" w14:textId="3A5E0F14" w:rsidR="00C07025" w:rsidRPr="00296557" w:rsidRDefault="00C07025" w:rsidP="00C07025">
      <w:pPr>
        <w:jc w:val="both"/>
        <w:rPr>
          <w:bCs/>
        </w:rPr>
      </w:pPr>
      <w:r w:rsidRPr="00296557">
        <w:rPr>
          <w:bCs/>
        </w:rPr>
        <w:t>Eelnõu esitatakse eelnõude infosüsteemi EIS kaudu kooskõlastamiseks Rahandusm</w:t>
      </w:r>
      <w:r>
        <w:rPr>
          <w:bCs/>
        </w:rPr>
        <w:t>inisteeriumile</w:t>
      </w:r>
      <w:r w:rsidRPr="00296557">
        <w:rPr>
          <w:bCs/>
        </w:rPr>
        <w:t>.</w:t>
      </w:r>
    </w:p>
    <w:p w14:paraId="0DFFA104" w14:textId="2CD8817B" w:rsidR="000C65EB" w:rsidRDefault="00C07025" w:rsidP="000C65EB">
      <w:pPr>
        <w:jc w:val="both"/>
        <w:rPr>
          <w:bCs/>
        </w:rPr>
      </w:pPr>
      <w:r w:rsidRPr="00296557">
        <w:rPr>
          <w:bCs/>
        </w:rPr>
        <w:t>Eelnõu esitatakse arvamuse andmiseks PRIA-le</w:t>
      </w:r>
      <w:r w:rsidR="00F2622C">
        <w:rPr>
          <w:bCs/>
        </w:rPr>
        <w:t xml:space="preserve"> ning Põllumajandus- ja Toiduametile</w:t>
      </w:r>
      <w:r w:rsidRPr="00296557">
        <w:rPr>
          <w:bCs/>
        </w:rPr>
        <w:t>.</w:t>
      </w:r>
      <w:r w:rsidR="000C65EB" w:rsidRPr="000C65EB">
        <w:rPr>
          <w:bCs/>
        </w:rPr>
        <w:t xml:space="preserve"> </w:t>
      </w:r>
    </w:p>
    <w:p w14:paraId="4185E29D" w14:textId="77777777" w:rsidR="000C65EB" w:rsidRDefault="000C65EB" w:rsidP="000C65EB">
      <w:pPr>
        <w:jc w:val="both"/>
        <w:rPr>
          <w:bCs/>
        </w:rPr>
      </w:pPr>
    </w:p>
    <w:sectPr w:rsidR="000C65EB" w:rsidSect="004D33AE">
      <w:pgSz w:w="11906" w:h="16838"/>
      <w:pgMar w:top="568" w:right="849" w:bottom="993" w:left="1800" w:header="708" w:footer="708"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28D8C1" w14:textId="77777777" w:rsidR="0006288F" w:rsidRDefault="0006288F" w:rsidP="00A321C1">
      <w:r>
        <w:separator/>
      </w:r>
    </w:p>
  </w:endnote>
  <w:endnote w:type="continuationSeparator" w:id="0">
    <w:p w14:paraId="72623F9D" w14:textId="77777777" w:rsidR="0006288F" w:rsidRDefault="0006288F" w:rsidP="00A32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95091F" w14:textId="77777777" w:rsidR="0006288F" w:rsidRDefault="0006288F" w:rsidP="00A321C1">
      <w:r>
        <w:separator/>
      </w:r>
    </w:p>
  </w:footnote>
  <w:footnote w:type="continuationSeparator" w:id="0">
    <w:p w14:paraId="7ADE2E6B" w14:textId="77777777" w:rsidR="0006288F" w:rsidRDefault="0006288F" w:rsidP="00A321C1">
      <w:r>
        <w:continuationSeparator/>
      </w:r>
    </w:p>
  </w:footnote>
  <w:footnote w:id="1">
    <w:p w14:paraId="7A6EFE5A" w14:textId="5826AA75" w:rsidR="00DA1BAB" w:rsidRPr="003520F9" w:rsidRDefault="00DA1BAB" w:rsidP="007128FF">
      <w:pPr>
        <w:pStyle w:val="FootnoteText"/>
        <w:rPr>
          <w:bCs/>
        </w:rPr>
      </w:pPr>
      <w:r>
        <w:rPr>
          <w:rStyle w:val="FootnoteReference"/>
        </w:rPr>
        <w:footnoteRef/>
      </w:r>
      <w:r>
        <w:t xml:space="preserve"> </w:t>
      </w:r>
      <w:r w:rsidRPr="007128FF">
        <w:rPr>
          <w:bCs/>
        </w:rPr>
        <w:t>Euroopa Parlamendi ja nõukogu määruse (EL) nr 1308/2013</w:t>
      </w:r>
      <w:r>
        <w:rPr>
          <w:bCs/>
        </w:rPr>
        <w:t xml:space="preserve"> artikkel 55(1).</w:t>
      </w:r>
    </w:p>
  </w:footnote>
  <w:footnote w:id="2">
    <w:p w14:paraId="131E4240" w14:textId="77777777" w:rsidR="005B4A74" w:rsidRPr="003520F9" w:rsidRDefault="005B4A74" w:rsidP="005B4A74">
      <w:pPr>
        <w:pStyle w:val="FootnoteText"/>
        <w:rPr>
          <w:bCs/>
        </w:rPr>
      </w:pPr>
      <w:r>
        <w:rPr>
          <w:rStyle w:val="FootnoteReference"/>
        </w:rPr>
        <w:footnoteRef/>
      </w:r>
      <w:r>
        <w:t xml:space="preserve"> </w:t>
      </w:r>
      <w:r>
        <w:rPr>
          <w:bCs/>
        </w:rPr>
        <w:t>Euroopa Parlamendi ja nõukogu määruse (EL) 2020/2220</w:t>
      </w:r>
      <w:r w:rsidRPr="003520F9">
        <w:rPr>
          <w:bCs/>
        </w:rPr>
        <w:t>,</w:t>
      </w:r>
      <w:r>
        <w:rPr>
          <w:bCs/>
        </w:rPr>
        <w:t xml:space="preserve"> </w:t>
      </w:r>
      <w:r w:rsidRPr="003520F9">
        <w:rPr>
          <w:bCs/>
        </w:rPr>
        <w:t>millega kehtestatakse teatavad üleminekusätted Euroopa Maaelu Arengu Põllumajandusfondi (EAFRD) ja Euroopa Põllumajanduse Tagatisfondi (EAGF) toetuse kohta 2021. ja 2022. aastal ning muudetakse määrusi (EL) nr 1305/2013, (EL) nr 1306/2013 ning (EL) nr 1307/2013 seoses 2021. ja 2022. aastal eraldatavate vahendite ja nende määruste kohaldamisega ning määrust (EL) nr 1308/2013 seoses 2021. ja 2022. aastal eraldatavate vahendite ja sellise toetuse jaotamisega</w:t>
      </w:r>
      <w:r>
        <w:rPr>
          <w:bCs/>
        </w:rPr>
        <w:t xml:space="preserve"> (ELT L 437, 28</w:t>
      </w:r>
      <w:r w:rsidRPr="003520F9">
        <w:rPr>
          <w:bCs/>
        </w:rPr>
        <w:t>.12</w:t>
      </w:r>
      <w:r>
        <w:rPr>
          <w:bCs/>
        </w:rPr>
        <w:t>.2020, lk 1–29</w:t>
      </w:r>
      <w:r w:rsidRPr="003520F9">
        <w:rPr>
          <w:bCs/>
        </w:rPr>
        <w:t>)</w:t>
      </w:r>
      <w:r>
        <w:rPr>
          <w:bCs/>
        </w:rPr>
        <w:t>, artikli 10 punkt 3).</w:t>
      </w:r>
    </w:p>
  </w:footnote>
  <w:footnote w:id="3">
    <w:p w14:paraId="3888CE67" w14:textId="16999110" w:rsidR="00DA1BAB" w:rsidRDefault="00DA1BAB" w:rsidP="00D81333">
      <w:pPr>
        <w:pStyle w:val="FootnoteText"/>
      </w:pPr>
      <w:r>
        <w:rPr>
          <w:rStyle w:val="FootnoteReference"/>
        </w:rPr>
        <w:footnoteRef/>
      </w:r>
      <w:r>
        <w:t xml:space="preserve"> </w:t>
      </w:r>
      <w:r w:rsidRPr="00D81333">
        <w:t>https://www.riigikontroll.ee/tabid/206/Audit/2555/language/et-EE/Default.aspx</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B36CD"/>
    <w:multiLevelType w:val="hybridMultilevel"/>
    <w:tmpl w:val="4DFC0E8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4F425F8A"/>
    <w:multiLevelType w:val="hybridMultilevel"/>
    <w:tmpl w:val="76A65FD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3"/>
    <w:rsid w:val="000020B2"/>
    <w:rsid w:val="000069B5"/>
    <w:rsid w:val="000076FB"/>
    <w:rsid w:val="00011A50"/>
    <w:rsid w:val="00012FA7"/>
    <w:rsid w:val="00013161"/>
    <w:rsid w:val="00013BC1"/>
    <w:rsid w:val="000151DA"/>
    <w:rsid w:val="0001605B"/>
    <w:rsid w:val="000161E7"/>
    <w:rsid w:val="00017A49"/>
    <w:rsid w:val="00021EE1"/>
    <w:rsid w:val="00030AF5"/>
    <w:rsid w:val="00031645"/>
    <w:rsid w:val="00032FDE"/>
    <w:rsid w:val="00035D70"/>
    <w:rsid w:val="00037597"/>
    <w:rsid w:val="00041AE0"/>
    <w:rsid w:val="0004390E"/>
    <w:rsid w:val="000479B0"/>
    <w:rsid w:val="000503CB"/>
    <w:rsid w:val="000514C1"/>
    <w:rsid w:val="000525CA"/>
    <w:rsid w:val="000534C7"/>
    <w:rsid w:val="0005370A"/>
    <w:rsid w:val="000552EB"/>
    <w:rsid w:val="000571EA"/>
    <w:rsid w:val="0006288F"/>
    <w:rsid w:val="00062B25"/>
    <w:rsid w:val="0007253F"/>
    <w:rsid w:val="00075D67"/>
    <w:rsid w:val="000766F1"/>
    <w:rsid w:val="00076B84"/>
    <w:rsid w:val="00081AFB"/>
    <w:rsid w:val="000844BD"/>
    <w:rsid w:val="000844E1"/>
    <w:rsid w:val="000873CF"/>
    <w:rsid w:val="0009017A"/>
    <w:rsid w:val="00091B48"/>
    <w:rsid w:val="00092895"/>
    <w:rsid w:val="00093FCA"/>
    <w:rsid w:val="00095D1C"/>
    <w:rsid w:val="00097A05"/>
    <w:rsid w:val="000A0819"/>
    <w:rsid w:val="000A09E9"/>
    <w:rsid w:val="000A3A72"/>
    <w:rsid w:val="000A3A90"/>
    <w:rsid w:val="000A3F41"/>
    <w:rsid w:val="000A4DB8"/>
    <w:rsid w:val="000A5348"/>
    <w:rsid w:val="000A6DF1"/>
    <w:rsid w:val="000B1FD7"/>
    <w:rsid w:val="000B232F"/>
    <w:rsid w:val="000B72AF"/>
    <w:rsid w:val="000C0CCB"/>
    <w:rsid w:val="000C2D17"/>
    <w:rsid w:val="000C341B"/>
    <w:rsid w:val="000C4455"/>
    <w:rsid w:val="000C65EB"/>
    <w:rsid w:val="000C7F10"/>
    <w:rsid w:val="000D0507"/>
    <w:rsid w:val="000D6271"/>
    <w:rsid w:val="000D7A10"/>
    <w:rsid w:val="000F0D4B"/>
    <w:rsid w:val="000F3352"/>
    <w:rsid w:val="000F3F62"/>
    <w:rsid w:val="000F6325"/>
    <w:rsid w:val="000F7377"/>
    <w:rsid w:val="001002E0"/>
    <w:rsid w:val="00102CB2"/>
    <w:rsid w:val="00105E3C"/>
    <w:rsid w:val="00110536"/>
    <w:rsid w:val="0011233E"/>
    <w:rsid w:val="00112B78"/>
    <w:rsid w:val="00114626"/>
    <w:rsid w:val="00114B8E"/>
    <w:rsid w:val="00117789"/>
    <w:rsid w:val="00117BF4"/>
    <w:rsid w:val="00117F92"/>
    <w:rsid w:val="00120774"/>
    <w:rsid w:val="001212F2"/>
    <w:rsid w:val="0012142C"/>
    <w:rsid w:val="00122A22"/>
    <w:rsid w:val="001257E5"/>
    <w:rsid w:val="0012767C"/>
    <w:rsid w:val="00127AAC"/>
    <w:rsid w:val="00130AF1"/>
    <w:rsid w:val="00132814"/>
    <w:rsid w:val="001330F2"/>
    <w:rsid w:val="0013310B"/>
    <w:rsid w:val="001348BF"/>
    <w:rsid w:val="001364C5"/>
    <w:rsid w:val="00137B17"/>
    <w:rsid w:val="001420BD"/>
    <w:rsid w:val="00142B59"/>
    <w:rsid w:val="0014440A"/>
    <w:rsid w:val="0014633E"/>
    <w:rsid w:val="0014656F"/>
    <w:rsid w:val="001472B1"/>
    <w:rsid w:val="001502CD"/>
    <w:rsid w:val="00151DCE"/>
    <w:rsid w:val="00153659"/>
    <w:rsid w:val="00154012"/>
    <w:rsid w:val="00154B87"/>
    <w:rsid w:val="001553A1"/>
    <w:rsid w:val="001569F3"/>
    <w:rsid w:val="0015787F"/>
    <w:rsid w:val="00157FDF"/>
    <w:rsid w:val="001603FB"/>
    <w:rsid w:val="001627F2"/>
    <w:rsid w:val="001641AE"/>
    <w:rsid w:val="001642AA"/>
    <w:rsid w:val="00166B20"/>
    <w:rsid w:val="0017446C"/>
    <w:rsid w:val="00176A57"/>
    <w:rsid w:val="00176B0E"/>
    <w:rsid w:val="00176D26"/>
    <w:rsid w:val="00180CC5"/>
    <w:rsid w:val="00181573"/>
    <w:rsid w:val="001952AF"/>
    <w:rsid w:val="001955DC"/>
    <w:rsid w:val="00195BD6"/>
    <w:rsid w:val="00197D00"/>
    <w:rsid w:val="001A0422"/>
    <w:rsid w:val="001A1B7C"/>
    <w:rsid w:val="001A29C3"/>
    <w:rsid w:val="001A2B36"/>
    <w:rsid w:val="001A4F07"/>
    <w:rsid w:val="001A6F7C"/>
    <w:rsid w:val="001A79CE"/>
    <w:rsid w:val="001B0695"/>
    <w:rsid w:val="001B086B"/>
    <w:rsid w:val="001B636A"/>
    <w:rsid w:val="001C3FC3"/>
    <w:rsid w:val="001C6AA3"/>
    <w:rsid w:val="001C6EF6"/>
    <w:rsid w:val="001D02F2"/>
    <w:rsid w:val="001D106D"/>
    <w:rsid w:val="001D1AFF"/>
    <w:rsid w:val="001D2508"/>
    <w:rsid w:val="001D27C5"/>
    <w:rsid w:val="001D59A7"/>
    <w:rsid w:val="001D6070"/>
    <w:rsid w:val="001D6A43"/>
    <w:rsid w:val="001D7C77"/>
    <w:rsid w:val="001E020A"/>
    <w:rsid w:val="001E0BC7"/>
    <w:rsid w:val="001E2D2A"/>
    <w:rsid w:val="001E3123"/>
    <w:rsid w:val="001E68B5"/>
    <w:rsid w:val="001E6B1F"/>
    <w:rsid w:val="001F15CD"/>
    <w:rsid w:val="001F3A5A"/>
    <w:rsid w:val="001F6234"/>
    <w:rsid w:val="001F7B1A"/>
    <w:rsid w:val="00203811"/>
    <w:rsid w:val="00203D57"/>
    <w:rsid w:val="00204334"/>
    <w:rsid w:val="00205C3E"/>
    <w:rsid w:val="00207359"/>
    <w:rsid w:val="00207A26"/>
    <w:rsid w:val="00207D10"/>
    <w:rsid w:val="00210DB3"/>
    <w:rsid w:val="002145BE"/>
    <w:rsid w:val="00214FF5"/>
    <w:rsid w:val="00217D69"/>
    <w:rsid w:val="00217F0E"/>
    <w:rsid w:val="00222015"/>
    <w:rsid w:val="002223F2"/>
    <w:rsid w:val="00222C98"/>
    <w:rsid w:val="0022555A"/>
    <w:rsid w:val="00226E18"/>
    <w:rsid w:val="00227727"/>
    <w:rsid w:val="00230F46"/>
    <w:rsid w:val="00231E0F"/>
    <w:rsid w:val="002359CC"/>
    <w:rsid w:val="002369C5"/>
    <w:rsid w:val="0023728E"/>
    <w:rsid w:val="0023740B"/>
    <w:rsid w:val="002375FC"/>
    <w:rsid w:val="0024460A"/>
    <w:rsid w:val="0024574E"/>
    <w:rsid w:val="0024661D"/>
    <w:rsid w:val="0024744F"/>
    <w:rsid w:val="00250F2F"/>
    <w:rsid w:val="00252487"/>
    <w:rsid w:val="0025372F"/>
    <w:rsid w:val="00254951"/>
    <w:rsid w:val="002554CF"/>
    <w:rsid w:val="002579AC"/>
    <w:rsid w:val="00257C90"/>
    <w:rsid w:val="00261821"/>
    <w:rsid w:val="002620E6"/>
    <w:rsid w:val="00262847"/>
    <w:rsid w:val="00263AD3"/>
    <w:rsid w:val="00264EAA"/>
    <w:rsid w:val="00265C50"/>
    <w:rsid w:val="002660CA"/>
    <w:rsid w:val="00270442"/>
    <w:rsid w:val="002726F6"/>
    <w:rsid w:val="002824AF"/>
    <w:rsid w:val="002907DF"/>
    <w:rsid w:val="00296B7A"/>
    <w:rsid w:val="002A4AD3"/>
    <w:rsid w:val="002A54A2"/>
    <w:rsid w:val="002A7082"/>
    <w:rsid w:val="002A77EC"/>
    <w:rsid w:val="002B02B3"/>
    <w:rsid w:val="002B03AA"/>
    <w:rsid w:val="002B11FD"/>
    <w:rsid w:val="002B16D2"/>
    <w:rsid w:val="002B1ABC"/>
    <w:rsid w:val="002B1F22"/>
    <w:rsid w:val="002B382F"/>
    <w:rsid w:val="002B4D74"/>
    <w:rsid w:val="002B5B8C"/>
    <w:rsid w:val="002B6347"/>
    <w:rsid w:val="002C0526"/>
    <w:rsid w:val="002C2889"/>
    <w:rsid w:val="002C40B3"/>
    <w:rsid w:val="002C45A3"/>
    <w:rsid w:val="002C50E0"/>
    <w:rsid w:val="002C56E1"/>
    <w:rsid w:val="002C5D15"/>
    <w:rsid w:val="002C62C5"/>
    <w:rsid w:val="002C6BF5"/>
    <w:rsid w:val="002C79A3"/>
    <w:rsid w:val="002D195A"/>
    <w:rsid w:val="002D6483"/>
    <w:rsid w:val="002E0C2F"/>
    <w:rsid w:val="002E4777"/>
    <w:rsid w:val="002E6A85"/>
    <w:rsid w:val="002F2CFC"/>
    <w:rsid w:val="002F442A"/>
    <w:rsid w:val="002F458A"/>
    <w:rsid w:val="002F59BE"/>
    <w:rsid w:val="002F6E02"/>
    <w:rsid w:val="00300858"/>
    <w:rsid w:val="00300EB3"/>
    <w:rsid w:val="00303BEC"/>
    <w:rsid w:val="00304D11"/>
    <w:rsid w:val="00305E14"/>
    <w:rsid w:val="00310377"/>
    <w:rsid w:val="0031103A"/>
    <w:rsid w:val="00311FFB"/>
    <w:rsid w:val="00320992"/>
    <w:rsid w:val="00321A1F"/>
    <w:rsid w:val="00326293"/>
    <w:rsid w:val="00326B3A"/>
    <w:rsid w:val="003279F5"/>
    <w:rsid w:val="00330DE9"/>
    <w:rsid w:val="00331291"/>
    <w:rsid w:val="00334939"/>
    <w:rsid w:val="00336205"/>
    <w:rsid w:val="00337099"/>
    <w:rsid w:val="003370B1"/>
    <w:rsid w:val="00342605"/>
    <w:rsid w:val="003446DE"/>
    <w:rsid w:val="00345B96"/>
    <w:rsid w:val="00345CFC"/>
    <w:rsid w:val="00346546"/>
    <w:rsid w:val="003474B2"/>
    <w:rsid w:val="003503B8"/>
    <w:rsid w:val="00350B93"/>
    <w:rsid w:val="00351142"/>
    <w:rsid w:val="003519C4"/>
    <w:rsid w:val="003520F9"/>
    <w:rsid w:val="00354257"/>
    <w:rsid w:val="003569F9"/>
    <w:rsid w:val="00360973"/>
    <w:rsid w:val="003662A3"/>
    <w:rsid w:val="003671B4"/>
    <w:rsid w:val="00370488"/>
    <w:rsid w:val="0037171D"/>
    <w:rsid w:val="0037295B"/>
    <w:rsid w:val="00373BCD"/>
    <w:rsid w:val="0037451B"/>
    <w:rsid w:val="00374B09"/>
    <w:rsid w:val="00375C64"/>
    <w:rsid w:val="00375E90"/>
    <w:rsid w:val="00376A75"/>
    <w:rsid w:val="00380439"/>
    <w:rsid w:val="003819AB"/>
    <w:rsid w:val="003819E7"/>
    <w:rsid w:val="003851B2"/>
    <w:rsid w:val="00385309"/>
    <w:rsid w:val="00387B1E"/>
    <w:rsid w:val="003904CF"/>
    <w:rsid w:val="00391F5B"/>
    <w:rsid w:val="00392E4F"/>
    <w:rsid w:val="00393F32"/>
    <w:rsid w:val="0039681B"/>
    <w:rsid w:val="003A1388"/>
    <w:rsid w:val="003A1893"/>
    <w:rsid w:val="003A28AA"/>
    <w:rsid w:val="003A4FE5"/>
    <w:rsid w:val="003A76CD"/>
    <w:rsid w:val="003B20FA"/>
    <w:rsid w:val="003B30A6"/>
    <w:rsid w:val="003B48F3"/>
    <w:rsid w:val="003C1AF4"/>
    <w:rsid w:val="003C24EE"/>
    <w:rsid w:val="003C2F85"/>
    <w:rsid w:val="003C6273"/>
    <w:rsid w:val="003C7309"/>
    <w:rsid w:val="003D037C"/>
    <w:rsid w:val="003D3A57"/>
    <w:rsid w:val="003D5561"/>
    <w:rsid w:val="003D5DF3"/>
    <w:rsid w:val="003E1338"/>
    <w:rsid w:val="003E1623"/>
    <w:rsid w:val="003E21CE"/>
    <w:rsid w:val="003E2312"/>
    <w:rsid w:val="003E3583"/>
    <w:rsid w:val="003E3A76"/>
    <w:rsid w:val="003E6562"/>
    <w:rsid w:val="003E78D7"/>
    <w:rsid w:val="003E7B02"/>
    <w:rsid w:val="003F2006"/>
    <w:rsid w:val="00401960"/>
    <w:rsid w:val="00403F49"/>
    <w:rsid w:val="00413196"/>
    <w:rsid w:val="0041560C"/>
    <w:rsid w:val="00415EE2"/>
    <w:rsid w:val="00420692"/>
    <w:rsid w:val="00421F24"/>
    <w:rsid w:val="004224C2"/>
    <w:rsid w:val="00422A7F"/>
    <w:rsid w:val="00422BBE"/>
    <w:rsid w:val="0042401A"/>
    <w:rsid w:val="00425A25"/>
    <w:rsid w:val="004267A8"/>
    <w:rsid w:val="004310B7"/>
    <w:rsid w:val="004325FD"/>
    <w:rsid w:val="0043601C"/>
    <w:rsid w:val="00440376"/>
    <w:rsid w:val="0044088D"/>
    <w:rsid w:val="004421F9"/>
    <w:rsid w:val="004427B8"/>
    <w:rsid w:val="00447059"/>
    <w:rsid w:val="0045009D"/>
    <w:rsid w:val="004502D9"/>
    <w:rsid w:val="00451EA6"/>
    <w:rsid w:val="004535EC"/>
    <w:rsid w:val="00455937"/>
    <w:rsid w:val="00455B8F"/>
    <w:rsid w:val="0046079C"/>
    <w:rsid w:val="00460854"/>
    <w:rsid w:val="00462573"/>
    <w:rsid w:val="0046455E"/>
    <w:rsid w:val="004672CD"/>
    <w:rsid w:val="00471DC8"/>
    <w:rsid w:val="00474247"/>
    <w:rsid w:val="00476184"/>
    <w:rsid w:val="00476D6A"/>
    <w:rsid w:val="00477531"/>
    <w:rsid w:val="00482735"/>
    <w:rsid w:val="0048398A"/>
    <w:rsid w:val="00490613"/>
    <w:rsid w:val="00491EEC"/>
    <w:rsid w:val="00493DFF"/>
    <w:rsid w:val="004951F9"/>
    <w:rsid w:val="004953DD"/>
    <w:rsid w:val="00495B55"/>
    <w:rsid w:val="00495BC6"/>
    <w:rsid w:val="004A0819"/>
    <w:rsid w:val="004A0AB5"/>
    <w:rsid w:val="004A3BAA"/>
    <w:rsid w:val="004A403A"/>
    <w:rsid w:val="004A47A1"/>
    <w:rsid w:val="004A7EE2"/>
    <w:rsid w:val="004B0A87"/>
    <w:rsid w:val="004B100C"/>
    <w:rsid w:val="004B1A8D"/>
    <w:rsid w:val="004B3324"/>
    <w:rsid w:val="004B47FD"/>
    <w:rsid w:val="004B55C0"/>
    <w:rsid w:val="004B69AB"/>
    <w:rsid w:val="004B6FF8"/>
    <w:rsid w:val="004B7FC5"/>
    <w:rsid w:val="004C004A"/>
    <w:rsid w:val="004C01F4"/>
    <w:rsid w:val="004C0855"/>
    <w:rsid w:val="004C594D"/>
    <w:rsid w:val="004C7DEC"/>
    <w:rsid w:val="004D0FB3"/>
    <w:rsid w:val="004D1C8B"/>
    <w:rsid w:val="004D33AE"/>
    <w:rsid w:val="004D49FC"/>
    <w:rsid w:val="004F264B"/>
    <w:rsid w:val="004F65A6"/>
    <w:rsid w:val="005047E7"/>
    <w:rsid w:val="00505049"/>
    <w:rsid w:val="00505D28"/>
    <w:rsid w:val="00506F76"/>
    <w:rsid w:val="0050723E"/>
    <w:rsid w:val="00507B31"/>
    <w:rsid w:val="00512BE1"/>
    <w:rsid w:val="0051314C"/>
    <w:rsid w:val="0051459F"/>
    <w:rsid w:val="0051487D"/>
    <w:rsid w:val="00515C0E"/>
    <w:rsid w:val="00516F99"/>
    <w:rsid w:val="005177A5"/>
    <w:rsid w:val="005201C1"/>
    <w:rsid w:val="00521872"/>
    <w:rsid w:val="00522026"/>
    <w:rsid w:val="005234D6"/>
    <w:rsid w:val="00524550"/>
    <w:rsid w:val="00526BE3"/>
    <w:rsid w:val="00531E99"/>
    <w:rsid w:val="00531EAF"/>
    <w:rsid w:val="00536A46"/>
    <w:rsid w:val="00536D24"/>
    <w:rsid w:val="00541A67"/>
    <w:rsid w:val="0054328E"/>
    <w:rsid w:val="00552068"/>
    <w:rsid w:val="00553205"/>
    <w:rsid w:val="00553997"/>
    <w:rsid w:val="0055493B"/>
    <w:rsid w:val="005560E8"/>
    <w:rsid w:val="0056138B"/>
    <w:rsid w:val="00561439"/>
    <w:rsid w:val="0056468D"/>
    <w:rsid w:val="005648D9"/>
    <w:rsid w:val="00572FD9"/>
    <w:rsid w:val="005734D3"/>
    <w:rsid w:val="00573A79"/>
    <w:rsid w:val="00576054"/>
    <w:rsid w:val="00577028"/>
    <w:rsid w:val="00582E08"/>
    <w:rsid w:val="00586399"/>
    <w:rsid w:val="005922D3"/>
    <w:rsid w:val="0059326C"/>
    <w:rsid w:val="00595EAD"/>
    <w:rsid w:val="00596AFC"/>
    <w:rsid w:val="00597A8F"/>
    <w:rsid w:val="005A130F"/>
    <w:rsid w:val="005A219C"/>
    <w:rsid w:val="005A25C1"/>
    <w:rsid w:val="005A651B"/>
    <w:rsid w:val="005A70D7"/>
    <w:rsid w:val="005A71A2"/>
    <w:rsid w:val="005B13BB"/>
    <w:rsid w:val="005B4217"/>
    <w:rsid w:val="005B4A74"/>
    <w:rsid w:val="005B5A8C"/>
    <w:rsid w:val="005C246F"/>
    <w:rsid w:val="005D52B8"/>
    <w:rsid w:val="005D5590"/>
    <w:rsid w:val="005D5E9C"/>
    <w:rsid w:val="005E04BA"/>
    <w:rsid w:val="005E3347"/>
    <w:rsid w:val="005E417F"/>
    <w:rsid w:val="005E4B83"/>
    <w:rsid w:val="005F5D0F"/>
    <w:rsid w:val="006008F8"/>
    <w:rsid w:val="006018FD"/>
    <w:rsid w:val="0060581A"/>
    <w:rsid w:val="00606039"/>
    <w:rsid w:val="00607BBB"/>
    <w:rsid w:val="00607FD5"/>
    <w:rsid w:val="00613FE8"/>
    <w:rsid w:val="00614EFC"/>
    <w:rsid w:val="006153F9"/>
    <w:rsid w:val="00617F88"/>
    <w:rsid w:val="0062180E"/>
    <w:rsid w:val="00623020"/>
    <w:rsid w:val="00624287"/>
    <w:rsid w:val="006258EF"/>
    <w:rsid w:val="006272CF"/>
    <w:rsid w:val="00627667"/>
    <w:rsid w:val="00627987"/>
    <w:rsid w:val="00627E1D"/>
    <w:rsid w:val="00631484"/>
    <w:rsid w:val="006371AC"/>
    <w:rsid w:val="0064197D"/>
    <w:rsid w:val="00642DF3"/>
    <w:rsid w:val="006477C0"/>
    <w:rsid w:val="006502C3"/>
    <w:rsid w:val="0065110C"/>
    <w:rsid w:val="006522F8"/>
    <w:rsid w:val="00654A41"/>
    <w:rsid w:val="00654E3D"/>
    <w:rsid w:val="006608CA"/>
    <w:rsid w:val="00662D8A"/>
    <w:rsid w:val="00662F8B"/>
    <w:rsid w:val="00664586"/>
    <w:rsid w:val="00665D9A"/>
    <w:rsid w:val="0066611F"/>
    <w:rsid w:val="006674AE"/>
    <w:rsid w:val="0066776B"/>
    <w:rsid w:val="0067210C"/>
    <w:rsid w:val="006751CC"/>
    <w:rsid w:val="00676A9A"/>
    <w:rsid w:val="00676EEA"/>
    <w:rsid w:val="006815B0"/>
    <w:rsid w:val="0068424D"/>
    <w:rsid w:val="0068569D"/>
    <w:rsid w:val="00685B31"/>
    <w:rsid w:val="00690328"/>
    <w:rsid w:val="00690C0A"/>
    <w:rsid w:val="00691F9B"/>
    <w:rsid w:val="00693C1D"/>
    <w:rsid w:val="0069510B"/>
    <w:rsid w:val="006A3DD7"/>
    <w:rsid w:val="006A4EDA"/>
    <w:rsid w:val="006B1928"/>
    <w:rsid w:val="006B34BE"/>
    <w:rsid w:val="006B40F7"/>
    <w:rsid w:val="006B5024"/>
    <w:rsid w:val="006B7488"/>
    <w:rsid w:val="006C3CAF"/>
    <w:rsid w:val="006C7447"/>
    <w:rsid w:val="006D0546"/>
    <w:rsid w:val="006D7052"/>
    <w:rsid w:val="006E10ED"/>
    <w:rsid w:val="006E3785"/>
    <w:rsid w:val="006E5773"/>
    <w:rsid w:val="006E6BAB"/>
    <w:rsid w:val="006E7485"/>
    <w:rsid w:val="006F0025"/>
    <w:rsid w:val="006F4B77"/>
    <w:rsid w:val="006F4D9F"/>
    <w:rsid w:val="006F6C7A"/>
    <w:rsid w:val="00703555"/>
    <w:rsid w:val="007041BA"/>
    <w:rsid w:val="007045B1"/>
    <w:rsid w:val="00705B24"/>
    <w:rsid w:val="007070CB"/>
    <w:rsid w:val="00710D49"/>
    <w:rsid w:val="00712728"/>
    <w:rsid w:val="007128FF"/>
    <w:rsid w:val="00714D40"/>
    <w:rsid w:val="0071630E"/>
    <w:rsid w:val="007178D9"/>
    <w:rsid w:val="007218C2"/>
    <w:rsid w:val="00724524"/>
    <w:rsid w:val="0072466D"/>
    <w:rsid w:val="00725460"/>
    <w:rsid w:val="00726A68"/>
    <w:rsid w:val="00733E1E"/>
    <w:rsid w:val="00733FFA"/>
    <w:rsid w:val="00734B8F"/>
    <w:rsid w:val="007372ED"/>
    <w:rsid w:val="0074053A"/>
    <w:rsid w:val="0074059E"/>
    <w:rsid w:val="00740A7A"/>
    <w:rsid w:val="00741F6C"/>
    <w:rsid w:val="007430D3"/>
    <w:rsid w:val="0074363C"/>
    <w:rsid w:val="0074423A"/>
    <w:rsid w:val="00745D7C"/>
    <w:rsid w:val="0074673F"/>
    <w:rsid w:val="0075178D"/>
    <w:rsid w:val="00751DDC"/>
    <w:rsid w:val="00752224"/>
    <w:rsid w:val="007552DD"/>
    <w:rsid w:val="007558A0"/>
    <w:rsid w:val="00761232"/>
    <w:rsid w:val="00761D17"/>
    <w:rsid w:val="0076287D"/>
    <w:rsid w:val="00763457"/>
    <w:rsid w:val="007638B9"/>
    <w:rsid w:val="0076717B"/>
    <w:rsid w:val="00767D16"/>
    <w:rsid w:val="00770FFB"/>
    <w:rsid w:val="0077206C"/>
    <w:rsid w:val="00772379"/>
    <w:rsid w:val="00772499"/>
    <w:rsid w:val="00774D52"/>
    <w:rsid w:val="007818AE"/>
    <w:rsid w:val="00785183"/>
    <w:rsid w:val="00785A7F"/>
    <w:rsid w:val="007926FF"/>
    <w:rsid w:val="00793A81"/>
    <w:rsid w:val="00794F5C"/>
    <w:rsid w:val="007A0F62"/>
    <w:rsid w:val="007A1124"/>
    <w:rsid w:val="007A43B8"/>
    <w:rsid w:val="007A4CD7"/>
    <w:rsid w:val="007A6EF1"/>
    <w:rsid w:val="007B2205"/>
    <w:rsid w:val="007B28B6"/>
    <w:rsid w:val="007B3141"/>
    <w:rsid w:val="007B42AB"/>
    <w:rsid w:val="007B432F"/>
    <w:rsid w:val="007B43A8"/>
    <w:rsid w:val="007B5414"/>
    <w:rsid w:val="007B596E"/>
    <w:rsid w:val="007C18D3"/>
    <w:rsid w:val="007C1B1F"/>
    <w:rsid w:val="007C22BA"/>
    <w:rsid w:val="007C270A"/>
    <w:rsid w:val="007C5877"/>
    <w:rsid w:val="007C65CF"/>
    <w:rsid w:val="007C6DB9"/>
    <w:rsid w:val="007C7625"/>
    <w:rsid w:val="007C77F8"/>
    <w:rsid w:val="007C7B22"/>
    <w:rsid w:val="007D7149"/>
    <w:rsid w:val="007E0EA6"/>
    <w:rsid w:val="007E423B"/>
    <w:rsid w:val="007E5B20"/>
    <w:rsid w:val="007F2F88"/>
    <w:rsid w:val="007F35D5"/>
    <w:rsid w:val="007F37D1"/>
    <w:rsid w:val="007F7DA5"/>
    <w:rsid w:val="00804772"/>
    <w:rsid w:val="00810105"/>
    <w:rsid w:val="00810768"/>
    <w:rsid w:val="00811F79"/>
    <w:rsid w:val="0081442C"/>
    <w:rsid w:val="00814A1E"/>
    <w:rsid w:val="00814D11"/>
    <w:rsid w:val="00815E47"/>
    <w:rsid w:val="008200EA"/>
    <w:rsid w:val="00820754"/>
    <w:rsid w:val="0082265F"/>
    <w:rsid w:val="00830600"/>
    <w:rsid w:val="00830E6E"/>
    <w:rsid w:val="008313E9"/>
    <w:rsid w:val="00831748"/>
    <w:rsid w:val="008324D9"/>
    <w:rsid w:val="00833315"/>
    <w:rsid w:val="00834AF7"/>
    <w:rsid w:val="00834BEC"/>
    <w:rsid w:val="008351E0"/>
    <w:rsid w:val="008352B6"/>
    <w:rsid w:val="00837BF3"/>
    <w:rsid w:val="0084029B"/>
    <w:rsid w:val="00841355"/>
    <w:rsid w:val="0084143E"/>
    <w:rsid w:val="008418EA"/>
    <w:rsid w:val="00841E7D"/>
    <w:rsid w:val="0084302A"/>
    <w:rsid w:val="00844571"/>
    <w:rsid w:val="00844EEE"/>
    <w:rsid w:val="00853711"/>
    <w:rsid w:val="0085747E"/>
    <w:rsid w:val="0085757D"/>
    <w:rsid w:val="0086168A"/>
    <w:rsid w:val="00862F2F"/>
    <w:rsid w:val="0086386F"/>
    <w:rsid w:val="008639AC"/>
    <w:rsid w:val="00863E79"/>
    <w:rsid w:val="008644D0"/>
    <w:rsid w:val="00865B6B"/>
    <w:rsid w:val="00870CF6"/>
    <w:rsid w:val="008739BB"/>
    <w:rsid w:val="00877A8F"/>
    <w:rsid w:val="00877F4A"/>
    <w:rsid w:val="008816B0"/>
    <w:rsid w:val="008817D6"/>
    <w:rsid w:val="008817EC"/>
    <w:rsid w:val="00881CD0"/>
    <w:rsid w:val="00882D61"/>
    <w:rsid w:val="00883088"/>
    <w:rsid w:val="008859EE"/>
    <w:rsid w:val="00894A0E"/>
    <w:rsid w:val="00896535"/>
    <w:rsid w:val="008A0F21"/>
    <w:rsid w:val="008A1530"/>
    <w:rsid w:val="008A32A1"/>
    <w:rsid w:val="008B0870"/>
    <w:rsid w:val="008B09A5"/>
    <w:rsid w:val="008B0A34"/>
    <w:rsid w:val="008B108E"/>
    <w:rsid w:val="008B27AB"/>
    <w:rsid w:val="008B64AD"/>
    <w:rsid w:val="008B6C14"/>
    <w:rsid w:val="008B7A0F"/>
    <w:rsid w:val="008B7B22"/>
    <w:rsid w:val="008C55DD"/>
    <w:rsid w:val="008D1592"/>
    <w:rsid w:val="008D6117"/>
    <w:rsid w:val="008E1B26"/>
    <w:rsid w:val="008F17E3"/>
    <w:rsid w:val="008F35A7"/>
    <w:rsid w:val="008F46A7"/>
    <w:rsid w:val="008F6357"/>
    <w:rsid w:val="009028CE"/>
    <w:rsid w:val="00903BD2"/>
    <w:rsid w:val="0090495B"/>
    <w:rsid w:val="00907739"/>
    <w:rsid w:val="00912A98"/>
    <w:rsid w:val="00912ECA"/>
    <w:rsid w:val="0091310E"/>
    <w:rsid w:val="009165A4"/>
    <w:rsid w:val="0091792C"/>
    <w:rsid w:val="00925AA8"/>
    <w:rsid w:val="00927B32"/>
    <w:rsid w:val="00933435"/>
    <w:rsid w:val="00934359"/>
    <w:rsid w:val="009367C4"/>
    <w:rsid w:val="0094130F"/>
    <w:rsid w:val="00943E47"/>
    <w:rsid w:val="00951A85"/>
    <w:rsid w:val="00951BBD"/>
    <w:rsid w:val="0095447F"/>
    <w:rsid w:val="00967770"/>
    <w:rsid w:val="00971F1C"/>
    <w:rsid w:val="00981706"/>
    <w:rsid w:val="00983AB2"/>
    <w:rsid w:val="009841ED"/>
    <w:rsid w:val="0098441D"/>
    <w:rsid w:val="009850BB"/>
    <w:rsid w:val="009853B3"/>
    <w:rsid w:val="00986C33"/>
    <w:rsid w:val="0098719C"/>
    <w:rsid w:val="00990DE4"/>
    <w:rsid w:val="00994877"/>
    <w:rsid w:val="00996807"/>
    <w:rsid w:val="009A010B"/>
    <w:rsid w:val="009A03A5"/>
    <w:rsid w:val="009A1E01"/>
    <w:rsid w:val="009A2A9B"/>
    <w:rsid w:val="009A2D6D"/>
    <w:rsid w:val="009A2DE8"/>
    <w:rsid w:val="009A4200"/>
    <w:rsid w:val="009A494B"/>
    <w:rsid w:val="009A68C6"/>
    <w:rsid w:val="009B0433"/>
    <w:rsid w:val="009B4057"/>
    <w:rsid w:val="009B4C91"/>
    <w:rsid w:val="009B7859"/>
    <w:rsid w:val="009C06AB"/>
    <w:rsid w:val="009C18DB"/>
    <w:rsid w:val="009C24F8"/>
    <w:rsid w:val="009C3FC0"/>
    <w:rsid w:val="009C45A3"/>
    <w:rsid w:val="009C4B28"/>
    <w:rsid w:val="009C545B"/>
    <w:rsid w:val="009C64E7"/>
    <w:rsid w:val="009D318A"/>
    <w:rsid w:val="009D4D17"/>
    <w:rsid w:val="009D7ED7"/>
    <w:rsid w:val="009E0106"/>
    <w:rsid w:val="009E5625"/>
    <w:rsid w:val="009E699D"/>
    <w:rsid w:val="009E6F9A"/>
    <w:rsid w:val="009F1276"/>
    <w:rsid w:val="009F174B"/>
    <w:rsid w:val="009F1810"/>
    <w:rsid w:val="009F39BF"/>
    <w:rsid w:val="00A01B59"/>
    <w:rsid w:val="00A025CB"/>
    <w:rsid w:val="00A05143"/>
    <w:rsid w:val="00A05FFE"/>
    <w:rsid w:val="00A1016E"/>
    <w:rsid w:val="00A11554"/>
    <w:rsid w:val="00A17376"/>
    <w:rsid w:val="00A203F6"/>
    <w:rsid w:val="00A2099D"/>
    <w:rsid w:val="00A226B7"/>
    <w:rsid w:val="00A257DD"/>
    <w:rsid w:val="00A2660C"/>
    <w:rsid w:val="00A27DFF"/>
    <w:rsid w:val="00A321C1"/>
    <w:rsid w:val="00A337BE"/>
    <w:rsid w:val="00A33C7D"/>
    <w:rsid w:val="00A345B0"/>
    <w:rsid w:val="00A35F91"/>
    <w:rsid w:val="00A4059A"/>
    <w:rsid w:val="00A43969"/>
    <w:rsid w:val="00A447A8"/>
    <w:rsid w:val="00A44B42"/>
    <w:rsid w:val="00A45CFF"/>
    <w:rsid w:val="00A467BE"/>
    <w:rsid w:val="00A46BF2"/>
    <w:rsid w:val="00A46D5B"/>
    <w:rsid w:val="00A529AD"/>
    <w:rsid w:val="00A53C6B"/>
    <w:rsid w:val="00A61A31"/>
    <w:rsid w:val="00A62ECA"/>
    <w:rsid w:val="00A63BA4"/>
    <w:rsid w:val="00A649B4"/>
    <w:rsid w:val="00A65B62"/>
    <w:rsid w:val="00A66CA6"/>
    <w:rsid w:val="00A6718B"/>
    <w:rsid w:val="00A67B28"/>
    <w:rsid w:val="00A71D65"/>
    <w:rsid w:val="00A7209B"/>
    <w:rsid w:val="00A7210D"/>
    <w:rsid w:val="00A7307D"/>
    <w:rsid w:val="00A73353"/>
    <w:rsid w:val="00A73940"/>
    <w:rsid w:val="00A739B8"/>
    <w:rsid w:val="00A76FC5"/>
    <w:rsid w:val="00A8244C"/>
    <w:rsid w:val="00A82F4D"/>
    <w:rsid w:val="00A86B40"/>
    <w:rsid w:val="00A95BB7"/>
    <w:rsid w:val="00AA00C2"/>
    <w:rsid w:val="00AA535A"/>
    <w:rsid w:val="00AA583F"/>
    <w:rsid w:val="00AA5CAD"/>
    <w:rsid w:val="00AB4926"/>
    <w:rsid w:val="00AB537E"/>
    <w:rsid w:val="00AC1210"/>
    <w:rsid w:val="00AC405F"/>
    <w:rsid w:val="00AD1E77"/>
    <w:rsid w:val="00AD5678"/>
    <w:rsid w:val="00AD5F65"/>
    <w:rsid w:val="00AD6D68"/>
    <w:rsid w:val="00AE0FDF"/>
    <w:rsid w:val="00AE1DE4"/>
    <w:rsid w:val="00AE2DFF"/>
    <w:rsid w:val="00AE7BF3"/>
    <w:rsid w:val="00AF14F6"/>
    <w:rsid w:val="00AF2423"/>
    <w:rsid w:val="00AF2DE5"/>
    <w:rsid w:val="00AF79CD"/>
    <w:rsid w:val="00AF7FD4"/>
    <w:rsid w:val="00B05904"/>
    <w:rsid w:val="00B05DAA"/>
    <w:rsid w:val="00B064BD"/>
    <w:rsid w:val="00B1035B"/>
    <w:rsid w:val="00B11AC0"/>
    <w:rsid w:val="00B1473E"/>
    <w:rsid w:val="00B14958"/>
    <w:rsid w:val="00B14BCF"/>
    <w:rsid w:val="00B153C2"/>
    <w:rsid w:val="00B15F4E"/>
    <w:rsid w:val="00B16336"/>
    <w:rsid w:val="00B1664A"/>
    <w:rsid w:val="00B16C83"/>
    <w:rsid w:val="00B20DE9"/>
    <w:rsid w:val="00B21E15"/>
    <w:rsid w:val="00B23643"/>
    <w:rsid w:val="00B24457"/>
    <w:rsid w:val="00B36526"/>
    <w:rsid w:val="00B3735F"/>
    <w:rsid w:val="00B43CA8"/>
    <w:rsid w:val="00B44733"/>
    <w:rsid w:val="00B455C9"/>
    <w:rsid w:val="00B46495"/>
    <w:rsid w:val="00B51FAD"/>
    <w:rsid w:val="00B52459"/>
    <w:rsid w:val="00B55561"/>
    <w:rsid w:val="00B57829"/>
    <w:rsid w:val="00B60C25"/>
    <w:rsid w:val="00B62C1F"/>
    <w:rsid w:val="00B6448D"/>
    <w:rsid w:val="00B66836"/>
    <w:rsid w:val="00B66BA6"/>
    <w:rsid w:val="00B67F55"/>
    <w:rsid w:val="00B705E3"/>
    <w:rsid w:val="00B72A80"/>
    <w:rsid w:val="00B763C9"/>
    <w:rsid w:val="00B7661D"/>
    <w:rsid w:val="00B80E22"/>
    <w:rsid w:val="00B81C2E"/>
    <w:rsid w:val="00B84E12"/>
    <w:rsid w:val="00B87AC5"/>
    <w:rsid w:val="00B91859"/>
    <w:rsid w:val="00B94699"/>
    <w:rsid w:val="00B97AC7"/>
    <w:rsid w:val="00BA092E"/>
    <w:rsid w:val="00BA2593"/>
    <w:rsid w:val="00BA437F"/>
    <w:rsid w:val="00BA44DC"/>
    <w:rsid w:val="00BA68DD"/>
    <w:rsid w:val="00BB17EC"/>
    <w:rsid w:val="00BB1B7A"/>
    <w:rsid w:val="00BB3C3F"/>
    <w:rsid w:val="00BB44D4"/>
    <w:rsid w:val="00BB625D"/>
    <w:rsid w:val="00BC1B23"/>
    <w:rsid w:val="00BC6143"/>
    <w:rsid w:val="00BC6740"/>
    <w:rsid w:val="00BD220B"/>
    <w:rsid w:val="00BD368B"/>
    <w:rsid w:val="00BD3B4D"/>
    <w:rsid w:val="00BD5175"/>
    <w:rsid w:val="00BD7180"/>
    <w:rsid w:val="00BE0B8C"/>
    <w:rsid w:val="00BE184C"/>
    <w:rsid w:val="00BE1BA5"/>
    <w:rsid w:val="00BE303B"/>
    <w:rsid w:val="00BF2459"/>
    <w:rsid w:val="00BF28D2"/>
    <w:rsid w:val="00BF4A66"/>
    <w:rsid w:val="00BF70C7"/>
    <w:rsid w:val="00C01EF8"/>
    <w:rsid w:val="00C0287B"/>
    <w:rsid w:val="00C058E0"/>
    <w:rsid w:val="00C07025"/>
    <w:rsid w:val="00C107F8"/>
    <w:rsid w:val="00C123A1"/>
    <w:rsid w:val="00C13D2F"/>
    <w:rsid w:val="00C23A74"/>
    <w:rsid w:val="00C267D8"/>
    <w:rsid w:val="00C36D0F"/>
    <w:rsid w:val="00C41A49"/>
    <w:rsid w:val="00C431FC"/>
    <w:rsid w:val="00C43730"/>
    <w:rsid w:val="00C44237"/>
    <w:rsid w:val="00C45C0C"/>
    <w:rsid w:val="00C47C0F"/>
    <w:rsid w:val="00C51181"/>
    <w:rsid w:val="00C51AC1"/>
    <w:rsid w:val="00C54440"/>
    <w:rsid w:val="00C60726"/>
    <w:rsid w:val="00C6229A"/>
    <w:rsid w:val="00C71559"/>
    <w:rsid w:val="00C722FF"/>
    <w:rsid w:val="00C738F6"/>
    <w:rsid w:val="00C73C08"/>
    <w:rsid w:val="00C7497F"/>
    <w:rsid w:val="00C75592"/>
    <w:rsid w:val="00C75BFA"/>
    <w:rsid w:val="00C819F8"/>
    <w:rsid w:val="00C832F8"/>
    <w:rsid w:val="00C8390F"/>
    <w:rsid w:val="00C83CB2"/>
    <w:rsid w:val="00C85567"/>
    <w:rsid w:val="00C85C4E"/>
    <w:rsid w:val="00C85FD3"/>
    <w:rsid w:val="00C8637E"/>
    <w:rsid w:val="00C8654F"/>
    <w:rsid w:val="00C87927"/>
    <w:rsid w:val="00C92ECC"/>
    <w:rsid w:val="00C94687"/>
    <w:rsid w:val="00C94B3C"/>
    <w:rsid w:val="00C94DCF"/>
    <w:rsid w:val="00C95F45"/>
    <w:rsid w:val="00C97739"/>
    <w:rsid w:val="00CA135A"/>
    <w:rsid w:val="00CA2FAE"/>
    <w:rsid w:val="00CA6A05"/>
    <w:rsid w:val="00CA6C89"/>
    <w:rsid w:val="00CB5912"/>
    <w:rsid w:val="00CB6F26"/>
    <w:rsid w:val="00CC4E98"/>
    <w:rsid w:val="00CC78D5"/>
    <w:rsid w:val="00CD07E0"/>
    <w:rsid w:val="00CD1DE1"/>
    <w:rsid w:val="00CD6EBA"/>
    <w:rsid w:val="00CD7367"/>
    <w:rsid w:val="00CD7759"/>
    <w:rsid w:val="00CD7B3C"/>
    <w:rsid w:val="00CE1FED"/>
    <w:rsid w:val="00CE3293"/>
    <w:rsid w:val="00CE3514"/>
    <w:rsid w:val="00CE4B88"/>
    <w:rsid w:val="00CE56EF"/>
    <w:rsid w:val="00CF0A28"/>
    <w:rsid w:val="00CF1DDE"/>
    <w:rsid w:val="00CF5DA0"/>
    <w:rsid w:val="00CF5F3A"/>
    <w:rsid w:val="00D01F71"/>
    <w:rsid w:val="00D0223A"/>
    <w:rsid w:val="00D02E93"/>
    <w:rsid w:val="00D033A9"/>
    <w:rsid w:val="00D03E4F"/>
    <w:rsid w:val="00D07490"/>
    <w:rsid w:val="00D108A9"/>
    <w:rsid w:val="00D125E5"/>
    <w:rsid w:val="00D12EEF"/>
    <w:rsid w:val="00D14D18"/>
    <w:rsid w:val="00D15B2E"/>
    <w:rsid w:val="00D2799C"/>
    <w:rsid w:val="00D32C1B"/>
    <w:rsid w:val="00D37F3D"/>
    <w:rsid w:val="00D41AA1"/>
    <w:rsid w:val="00D422D3"/>
    <w:rsid w:val="00D4335E"/>
    <w:rsid w:val="00D47B3E"/>
    <w:rsid w:val="00D541CA"/>
    <w:rsid w:val="00D56820"/>
    <w:rsid w:val="00D56C6D"/>
    <w:rsid w:val="00D60B25"/>
    <w:rsid w:val="00D61626"/>
    <w:rsid w:val="00D63430"/>
    <w:rsid w:val="00D639FF"/>
    <w:rsid w:val="00D674B5"/>
    <w:rsid w:val="00D67F35"/>
    <w:rsid w:val="00D71274"/>
    <w:rsid w:val="00D715C3"/>
    <w:rsid w:val="00D71A76"/>
    <w:rsid w:val="00D72106"/>
    <w:rsid w:val="00D73097"/>
    <w:rsid w:val="00D73318"/>
    <w:rsid w:val="00D766EA"/>
    <w:rsid w:val="00D80ED0"/>
    <w:rsid w:val="00D81333"/>
    <w:rsid w:val="00D83D25"/>
    <w:rsid w:val="00D85889"/>
    <w:rsid w:val="00D90370"/>
    <w:rsid w:val="00D908D0"/>
    <w:rsid w:val="00D91160"/>
    <w:rsid w:val="00D92EE9"/>
    <w:rsid w:val="00D93210"/>
    <w:rsid w:val="00D93E58"/>
    <w:rsid w:val="00D95CD5"/>
    <w:rsid w:val="00D97393"/>
    <w:rsid w:val="00D97465"/>
    <w:rsid w:val="00DA1BAB"/>
    <w:rsid w:val="00DA1DC0"/>
    <w:rsid w:val="00DA2E4E"/>
    <w:rsid w:val="00DA59A4"/>
    <w:rsid w:val="00DA5AC7"/>
    <w:rsid w:val="00DA792B"/>
    <w:rsid w:val="00DB083D"/>
    <w:rsid w:val="00DB1BB0"/>
    <w:rsid w:val="00DB3445"/>
    <w:rsid w:val="00DB3A65"/>
    <w:rsid w:val="00DB52AC"/>
    <w:rsid w:val="00DB768E"/>
    <w:rsid w:val="00DC0868"/>
    <w:rsid w:val="00DC3285"/>
    <w:rsid w:val="00DC74EA"/>
    <w:rsid w:val="00DD071E"/>
    <w:rsid w:val="00DD309A"/>
    <w:rsid w:val="00DD3263"/>
    <w:rsid w:val="00DD3449"/>
    <w:rsid w:val="00DD3B0B"/>
    <w:rsid w:val="00DD5A6F"/>
    <w:rsid w:val="00DD7BB5"/>
    <w:rsid w:val="00DE0B52"/>
    <w:rsid w:val="00DE137A"/>
    <w:rsid w:val="00DE5211"/>
    <w:rsid w:val="00DE7928"/>
    <w:rsid w:val="00DF208A"/>
    <w:rsid w:val="00DF272C"/>
    <w:rsid w:val="00DF2F24"/>
    <w:rsid w:val="00DF3F54"/>
    <w:rsid w:val="00DF5289"/>
    <w:rsid w:val="00DF63C2"/>
    <w:rsid w:val="00DF7EC6"/>
    <w:rsid w:val="00E01F1A"/>
    <w:rsid w:val="00E03007"/>
    <w:rsid w:val="00E03248"/>
    <w:rsid w:val="00E10E8D"/>
    <w:rsid w:val="00E113E2"/>
    <w:rsid w:val="00E11675"/>
    <w:rsid w:val="00E1508B"/>
    <w:rsid w:val="00E15D9D"/>
    <w:rsid w:val="00E2152A"/>
    <w:rsid w:val="00E2351D"/>
    <w:rsid w:val="00E25E16"/>
    <w:rsid w:val="00E26CE5"/>
    <w:rsid w:val="00E26F3F"/>
    <w:rsid w:val="00E276E5"/>
    <w:rsid w:val="00E27D3F"/>
    <w:rsid w:val="00E318EB"/>
    <w:rsid w:val="00E36198"/>
    <w:rsid w:val="00E369BA"/>
    <w:rsid w:val="00E36E4F"/>
    <w:rsid w:val="00E404D0"/>
    <w:rsid w:val="00E44099"/>
    <w:rsid w:val="00E4528A"/>
    <w:rsid w:val="00E503DD"/>
    <w:rsid w:val="00E60D72"/>
    <w:rsid w:val="00E60DFA"/>
    <w:rsid w:val="00E6170A"/>
    <w:rsid w:val="00E64292"/>
    <w:rsid w:val="00E648B7"/>
    <w:rsid w:val="00E71ACD"/>
    <w:rsid w:val="00E77C3D"/>
    <w:rsid w:val="00E810E0"/>
    <w:rsid w:val="00E8135B"/>
    <w:rsid w:val="00E85BD6"/>
    <w:rsid w:val="00E87995"/>
    <w:rsid w:val="00E90972"/>
    <w:rsid w:val="00E92937"/>
    <w:rsid w:val="00EA03E9"/>
    <w:rsid w:val="00EA1B61"/>
    <w:rsid w:val="00EA1DA2"/>
    <w:rsid w:val="00EA3254"/>
    <w:rsid w:val="00EB0048"/>
    <w:rsid w:val="00EB05F0"/>
    <w:rsid w:val="00EB2184"/>
    <w:rsid w:val="00EB4455"/>
    <w:rsid w:val="00EB546D"/>
    <w:rsid w:val="00EB57CE"/>
    <w:rsid w:val="00EC06B4"/>
    <w:rsid w:val="00EC5856"/>
    <w:rsid w:val="00EC6941"/>
    <w:rsid w:val="00ED019B"/>
    <w:rsid w:val="00ED1DF6"/>
    <w:rsid w:val="00ED595E"/>
    <w:rsid w:val="00ED5A71"/>
    <w:rsid w:val="00ED74F3"/>
    <w:rsid w:val="00EE1326"/>
    <w:rsid w:val="00EE2923"/>
    <w:rsid w:val="00EE3BC6"/>
    <w:rsid w:val="00EE3F63"/>
    <w:rsid w:val="00EE4FA7"/>
    <w:rsid w:val="00EE581F"/>
    <w:rsid w:val="00EE5F7A"/>
    <w:rsid w:val="00EF0447"/>
    <w:rsid w:val="00EF3959"/>
    <w:rsid w:val="00EF3ECC"/>
    <w:rsid w:val="00F002BC"/>
    <w:rsid w:val="00F029EC"/>
    <w:rsid w:val="00F0410F"/>
    <w:rsid w:val="00F04990"/>
    <w:rsid w:val="00F101CA"/>
    <w:rsid w:val="00F13842"/>
    <w:rsid w:val="00F13B0D"/>
    <w:rsid w:val="00F17144"/>
    <w:rsid w:val="00F177FB"/>
    <w:rsid w:val="00F223A0"/>
    <w:rsid w:val="00F2494E"/>
    <w:rsid w:val="00F25CEE"/>
    <w:rsid w:val="00F2622C"/>
    <w:rsid w:val="00F2645A"/>
    <w:rsid w:val="00F2764F"/>
    <w:rsid w:val="00F31006"/>
    <w:rsid w:val="00F33CD7"/>
    <w:rsid w:val="00F3622D"/>
    <w:rsid w:val="00F36384"/>
    <w:rsid w:val="00F41D41"/>
    <w:rsid w:val="00F42381"/>
    <w:rsid w:val="00F429FC"/>
    <w:rsid w:val="00F42FC4"/>
    <w:rsid w:val="00F43329"/>
    <w:rsid w:val="00F44D81"/>
    <w:rsid w:val="00F527A8"/>
    <w:rsid w:val="00F53CCD"/>
    <w:rsid w:val="00F54984"/>
    <w:rsid w:val="00F56198"/>
    <w:rsid w:val="00F62C2C"/>
    <w:rsid w:val="00F62CF3"/>
    <w:rsid w:val="00F6305B"/>
    <w:rsid w:val="00F65054"/>
    <w:rsid w:val="00F66476"/>
    <w:rsid w:val="00F72248"/>
    <w:rsid w:val="00F74B47"/>
    <w:rsid w:val="00F76884"/>
    <w:rsid w:val="00F77AFA"/>
    <w:rsid w:val="00F82C11"/>
    <w:rsid w:val="00F850EE"/>
    <w:rsid w:val="00F854B6"/>
    <w:rsid w:val="00F858F6"/>
    <w:rsid w:val="00F85A52"/>
    <w:rsid w:val="00F911D0"/>
    <w:rsid w:val="00F915DC"/>
    <w:rsid w:val="00F91919"/>
    <w:rsid w:val="00F9366D"/>
    <w:rsid w:val="00F94BD6"/>
    <w:rsid w:val="00F96B6D"/>
    <w:rsid w:val="00F97AD7"/>
    <w:rsid w:val="00FA0C93"/>
    <w:rsid w:val="00FA0F6E"/>
    <w:rsid w:val="00FA25FB"/>
    <w:rsid w:val="00FA2C26"/>
    <w:rsid w:val="00FA3D9E"/>
    <w:rsid w:val="00FA555B"/>
    <w:rsid w:val="00FA58C5"/>
    <w:rsid w:val="00FA7F23"/>
    <w:rsid w:val="00FB0BA3"/>
    <w:rsid w:val="00FB1B75"/>
    <w:rsid w:val="00FB2B95"/>
    <w:rsid w:val="00FB5710"/>
    <w:rsid w:val="00FB64E5"/>
    <w:rsid w:val="00FB729C"/>
    <w:rsid w:val="00FB7EA5"/>
    <w:rsid w:val="00FC07E5"/>
    <w:rsid w:val="00FC16DD"/>
    <w:rsid w:val="00FC22E7"/>
    <w:rsid w:val="00FC4983"/>
    <w:rsid w:val="00FC4FE0"/>
    <w:rsid w:val="00FC5628"/>
    <w:rsid w:val="00FC5E3A"/>
    <w:rsid w:val="00FC6740"/>
    <w:rsid w:val="00FC6F73"/>
    <w:rsid w:val="00FD2915"/>
    <w:rsid w:val="00FD3D14"/>
    <w:rsid w:val="00FD7D9B"/>
    <w:rsid w:val="00FE1C75"/>
    <w:rsid w:val="00FE35A7"/>
    <w:rsid w:val="00FE4C6F"/>
    <w:rsid w:val="00FE5605"/>
    <w:rsid w:val="00FE59C5"/>
    <w:rsid w:val="00FF1430"/>
    <w:rsid w:val="00FF18DB"/>
    <w:rsid w:val="00FF20B8"/>
    <w:rsid w:val="00FF33AF"/>
    <w:rsid w:val="00FF5906"/>
    <w:rsid w:val="00FF725C"/>
    <w:rsid w:val="00FF78B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3584F5"/>
  <w15:docId w15:val="{03230AF0-ACE2-42B9-B777-B989884AC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t-EE" w:eastAsia="et-E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6F1"/>
    <w:pPr>
      <w:autoSpaceDE w:val="0"/>
      <w:autoSpaceDN w:val="0"/>
    </w:pPr>
    <w:rPr>
      <w:rFonts w:ascii="Times New Roman" w:hAnsi="Times New Roman"/>
      <w:sz w:val="24"/>
      <w:szCs w:val="24"/>
      <w:lang w:eastAsia="en-US"/>
    </w:rPr>
  </w:style>
  <w:style w:type="paragraph" w:styleId="Heading1">
    <w:name w:val="heading 1"/>
    <w:basedOn w:val="Normal"/>
    <w:next w:val="Normal"/>
    <w:link w:val="Heading1Char"/>
    <w:uiPriority w:val="9"/>
    <w:qFormat/>
    <w:rsid w:val="000766F1"/>
    <w:pPr>
      <w:keepNext/>
      <w:jc w:val="center"/>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0766F1"/>
    <w:pPr>
      <w:keepNext/>
      <w:ind w:left="-148"/>
      <w:jc w:val="center"/>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0766F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766F1"/>
    <w:rPr>
      <w:rFonts w:ascii="Cambria" w:hAnsi="Cambria"/>
      <w:b/>
      <w:bCs/>
      <w:kern w:val="32"/>
      <w:sz w:val="32"/>
      <w:szCs w:val="32"/>
      <w:lang w:eastAsia="en-US"/>
    </w:rPr>
  </w:style>
  <w:style w:type="character" w:customStyle="1" w:styleId="Heading2Char">
    <w:name w:val="Heading 2 Char"/>
    <w:link w:val="Heading2"/>
    <w:uiPriority w:val="9"/>
    <w:rsid w:val="000766F1"/>
    <w:rPr>
      <w:rFonts w:ascii="Cambria" w:hAnsi="Cambria"/>
      <w:b/>
      <w:bCs/>
      <w:i/>
      <w:iCs/>
      <w:sz w:val="28"/>
      <w:szCs w:val="28"/>
      <w:lang w:eastAsia="en-US"/>
    </w:rPr>
  </w:style>
  <w:style w:type="character" w:customStyle="1" w:styleId="Heading3Char">
    <w:name w:val="Heading 3 Char"/>
    <w:link w:val="Heading3"/>
    <w:uiPriority w:val="9"/>
    <w:rsid w:val="000766F1"/>
    <w:rPr>
      <w:rFonts w:ascii="Cambria" w:hAnsi="Cambria"/>
      <w:b/>
      <w:bCs/>
      <w:sz w:val="26"/>
      <w:szCs w:val="26"/>
      <w:lang w:eastAsia="en-US"/>
    </w:rPr>
  </w:style>
  <w:style w:type="paragraph" w:styleId="NoSpacing">
    <w:name w:val="No Spacing"/>
    <w:uiPriority w:val="1"/>
    <w:qFormat/>
    <w:rsid w:val="000766F1"/>
    <w:pPr>
      <w:autoSpaceDE w:val="0"/>
      <w:autoSpaceDN w:val="0"/>
    </w:pPr>
    <w:rPr>
      <w:rFonts w:ascii="Times New Roman" w:hAnsi="Times New Roman"/>
      <w:sz w:val="24"/>
      <w:szCs w:val="24"/>
      <w:lang w:eastAsia="en-US"/>
    </w:rPr>
  </w:style>
  <w:style w:type="paragraph" w:styleId="ListParagraph">
    <w:name w:val="List Paragraph"/>
    <w:basedOn w:val="Normal"/>
    <w:uiPriority w:val="34"/>
    <w:qFormat/>
    <w:rsid w:val="000766F1"/>
    <w:pPr>
      <w:autoSpaceDE/>
      <w:autoSpaceDN/>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0766F1"/>
    <w:rPr>
      <w:b/>
      <w:bCs/>
      <w:i/>
      <w:iCs/>
      <w:color w:val="4F81BD"/>
    </w:rPr>
  </w:style>
  <w:style w:type="character" w:styleId="Emphasis">
    <w:name w:val="Emphasis"/>
    <w:basedOn w:val="DefaultParagraphFont"/>
    <w:uiPriority w:val="20"/>
    <w:qFormat/>
    <w:rsid w:val="000766F1"/>
    <w:rPr>
      <w:i/>
      <w:iCs/>
    </w:rPr>
  </w:style>
  <w:style w:type="character" w:styleId="Hyperlink">
    <w:name w:val="Hyperlink"/>
    <w:basedOn w:val="DefaultParagraphFont"/>
    <w:uiPriority w:val="99"/>
    <w:unhideWhenUsed/>
    <w:rsid w:val="002B1ABC"/>
    <w:rPr>
      <w:color w:val="0000FF" w:themeColor="hyperlink"/>
      <w:u w:val="single"/>
    </w:rPr>
  </w:style>
  <w:style w:type="paragraph" w:customStyle="1" w:styleId="Tekst">
    <w:name w:val="Tekst"/>
    <w:autoRedefine/>
    <w:qFormat/>
    <w:rsid w:val="00091B48"/>
    <w:rPr>
      <w:rFonts w:ascii="Times New Roman" w:eastAsia="SimSun" w:hAnsi="Times New Roman" w:cs="Mangal"/>
      <w:kern w:val="1"/>
      <w:sz w:val="24"/>
      <w:szCs w:val="24"/>
      <w:lang w:eastAsia="zh-CN" w:bidi="hi-IN"/>
    </w:rPr>
  </w:style>
  <w:style w:type="table" w:styleId="TableGrid">
    <w:name w:val="Table Grid"/>
    <w:basedOn w:val="TableNormal"/>
    <w:rsid w:val="00943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108A9"/>
    <w:rPr>
      <w:sz w:val="16"/>
      <w:szCs w:val="16"/>
    </w:rPr>
  </w:style>
  <w:style w:type="paragraph" w:styleId="CommentText">
    <w:name w:val="annotation text"/>
    <w:basedOn w:val="Normal"/>
    <w:link w:val="CommentTextChar"/>
    <w:uiPriority w:val="99"/>
    <w:unhideWhenUsed/>
    <w:rsid w:val="00D108A9"/>
    <w:pPr>
      <w:widowControl w:val="0"/>
      <w:suppressAutoHyphens/>
      <w:autoSpaceDE/>
      <w:autoSpaceDN/>
      <w:jc w:val="both"/>
    </w:pPr>
    <w:rPr>
      <w:rFonts w:eastAsia="SimSun" w:cs="Mangal"/>
      <w:kern w:val="1"/>
      <w:sz w:val="20"/>
      <w:szCs w:val="18"/>
      <w:lang w:eastAsia="zh-CN" w:bidi="hi-IN"/>
    </w:rPr>
  </w:style>
  <w:style w:type="character" w:customStyle="1" w:styleId="CommentTextChar">
    <w:name w:val="Comment Text Char"/>
    <w:basedOn w:val="DefaultParagraphFont"/>
    <w:link w:val="CommentText"/>
    <w:uiPriority w:val="99"/>
    <w:rsid w:val="00D108A9"/>
    <w:rPr>
      <w:rFonts w:ascii="Times New Roman" w:eastAsia="SimSun" w:hAnsi="Times New Roman" w:cs="Mangal"/>
      <w:kern w:val="1"/>
      <w:szCs w:val="18"/>
      <w:lang w:eastAsia="zh-CN" w:bidi="hi-IN"/>
    </w:rPr>
  </w:style>
  <w:style w:type="paragraph" w:styleId="BalloonText">
    <w:name w:val="Balloon Text"/>
    <w:basedOn w:val="Normal"/>
    <w:link w:val="BalloonTextChar"/>
    <w:semiHidden/>
    <w:unhideWhenUsed/>
    <w:rsid w:val="00D108A9"/>
    <w:rPr>
      <w:rFonts w:ascii="Segoe UI" w:hAnsi="Segoe UI" w:cs="Segoe UI"/>
      <w:sz w:val="18"/>
      <w:szCs w:val="18"/>
    </w:rPr>
  </w:style>
  <w:style w:type="character" w:customStyle="1" w:styleId="BalloonTextChar">
    <w:name w:val="Balloon Text Char"/>
    <w:basedOn w:val="DefaultParagraphFont"/>
    <w:link w:val="BalloonText"/>
    <w:semiHidden/>
    <w:rsid w:val="00D108A9"/>
    <w:rPr>
      <w:rFonts w:ascii="Segoe UI" w:hAnsi="Segoe UI" w:cs="Segoe UI"/>
      <w:sz w:val="18"/>
      <w:szCs w:val="18"/>
      <w:lang w:eastAsia="en-US"/>
    </w:rPr>
  </w:style>
  <w:style w:type="paragraph" w:styleId="FootnoteText">
    <w:name w:val="footnote text"/>
    <w:basedOn w:val="Normal"/>
    <w:link w:val="FootnoteTextChar"/>
    <w:uiPriority w:val="99"/>
    <w:semiHidden/>
    <w:unhideWhenUsed/>
    <w:rsid w:val="00A321C1"/>
    <w:pPr>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A321C1"/>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A321C1"/>
    <w:rPr>
      <w:vertAlign w:val="superscript"/>
    </w:rPr>
  </w:style>
  <w:style w:type="paragraph" w:customStyle="1" w:styleId="oj-ti-art">
    <w:name w:val="oj-ti-art"/>
    <w:basedOn w:val="Normal"/>
    <w:rsid w:val="00413196"/>
    <w:pPr>
      <w:autoSpaceDE/>
      <w:autoSpaceDN/>
      <w:spacing w:before="100" w:beforeAutospacing="1" w:after="100" w:afterAutospacing="1"/>
    </w:pPr>
    <w:rPr>
      <w:lang w:eastAsia="et-EE"/>
    </w:rPr>
  </w:style>
  <w:style w:type="paragraph" w:customStyle="1" w:styleId="oj-sti-art">
    <w:name w:val="oj-sti-art"/>
    <w:basedOn w:val="Normal"/>
    <w:rsid w:val="00413196"/>
    <w:pPr>
      <w:autoSpaceDE/>
      <w:autoSpaceDN/>
      <w:spacing w:before="100" w:beforeAutospacing="1" w:after="100" w:afterAutospacing="1"/>
    </w:pPr>
    <w:rPr>
      <w:lang w:eastAsia="et-EE"/>
    </w:rPr>
  </w:style>
  <w:style w:type="paragraph" w:customStyle="1" w:styleId="oj-normal">
    <w:name w:val="oj-normal"/>
    <w:basedOn w:val="Normal"/>
    <w:rsid w:val="00413196"/>
    <w:pPr>
      <w:autoSpaceDE/>
      <w:autoSpaceDN/>
      <w:spacing w:before="100" w:beforeAutospacing="1" w:after="100" w:afterAutospacing="1"/>
    </w:pPr>
    <w:rPr>
      <w:lang w:eastAsia="et-EE"/>
    </w:rPr>
  </w:style>
  <w:style w:type="paragraph" w:styleId="CommentSubject">
    <w:name w:val="annotation subject"/>
    <w:basedOn w:val="CommentText"/>
    <w:next w:val="CommentText"/>
    <w:link w:val="CommentSubjectChar"/>
    <w:semiHidden/>
    <w:unhideWhenUsed/>
    <w:rsid w:val="00ED1DF6"/>
    <w:pPr>
      <w:widowControl/>
      <w:suppressAutoHyphens w:val="0"/>
      <w:autoSpaceDE w:val="0"/>
      <w:autoSpaceDN w:val="0"/>
      <w:jc w:val="left"/>
    </w:pPr>
    <w:rPr>
      <w:rFonts w:eastAsia="Times New Roman" w:cs="Times New Roman"/>
      <w:b/>
      <w:bCs/>
      <w:kern w:val="0"/>
      <w:szCs w:val="20"/>
      <w:lang w:eastAsia="en-US" w:bidi="ar-SA"/>
    </w:rPr>
  </w:style>
  <w:style w:type="character" w:customStyle="1" w:styleId="CommentSubjectChar">
    <w:name w:val="Comment Subject Char"/>
    <w:basedOn w:val="CommentTextChar"/>
    <w:link w:val="CommentSubject"/>
    <w:semiHidden/>
    <w:rsid w:val="00ED1DF6"/>
    <w:rPr>
      <w:rFonts w:ascii="Times New Roman" w:eastAsia="SimSun" w:hAnsi="Times New Roman" w:cs="Mangal"/>
      <w:b/>
      <w:bCs/>
      <w:kern w:val="1"/>
      <w:szCs w:val="18"/>
      <w:lang w:eastAsia="en-US" w:bidi="hi-IN"/>
    </w:rPr>
  </w:style>
  <w:style w:type="paragraph" w:styleId="NormalWeb">
    <w:name w:val="Normal (Web)"/>
    <w:basedOn w:val="Normal"/>
    <w:uiPriority w:val="99"/>
    <w:semiHidden/>
    <w:unhideWhenUsed/>
    <w:rsid w:val="0051487D"/>
    <w:pPr>
      <w:autoSpaceDE/>
      <w:autoSpaceDN/>
      <w:spacing w:before="100" w:beforeAutospacing="1" w:after="100" w:afterAutospacing="1"/>
    </w:pPr>
    <w:rPr>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320784">
      <w:bodyDiv w:val="1"/>
      <w:marLeft w:val="0"/>
      <w:marRight w:val="0"/>
      <w:marTop w:val="0"/>
      <w:marBottom w:val="0"/>
      <w:divBdr>
        <w:top w:val="none" w:sz="0" w:space="0" w:color="auto"/>
        <w:left w:val="none" w:sz="0" w:space="0" w:color="auto"/>
        <w:bottom w:val="none" w:sz="0" w:space="0" w:color="auto"/>
        <w:right w:val="none" w:sz="0" w:space="0" w:color="auto"/>
      </w:divBdr>
    </w:div>
    <w:div w:id="1404522653">
      <w:bodyDiv w:val="1"/>
      <w:marLeft w:val="0"/>
      <w:marRight w:val="0"/>
      <w:marTop w:val="0"/>
      <w:marBottom w:val="0"/>
      <w:divBdr>
        <w:top w:val="none" w:sz="0" w:space="0" w:color="auto"/>
        <w:left w:val="none" w:sz="0" w:space="0" w:color="auto"/>
        <w:bottom w:val="none" w:sz="0" w:space="0" w:color="auto"/>
        <w:right w:val="none" w:sz="0" w:space="0" w:color="auto"/>
      </w:divBdr>
    </w:div>
    <w:div w:id="1788741291">
      <w:bodyDiv w:val="1"/>
      <w:marLeft w:val="0"/>
      <w:marRight w:val="0"/>
      <w:marTop w:val="0"/>
      <w:marBottom w:val="0"/>
      <w:divBdr>
        <w:top w:val="none" w:sz="0" w:space="0" w:color="auto"/>
        <w:left w:val="none" w:sz="0" w:space="0" w:color="auto"/>
        <w:bottom w:val="none" w:sz="0" w:space="0" w:color="auto"/>
        <w:right w:val="none" w:sz="0" w:space="0" w:color="auto"/>
      </w:divBdr>
    </w:div>
    <w:div w:id="2083481613">
      <w:bodyDiv w:val="1"/>
      <w:marLeft w:val="0"/>
      <w:marRight w:val="0"/>
      <w:marTop w:val="0"/>
      <w:marBottom w:val="0"/>
      <w:divBdr>
        <w:top w:val="none" w:sz="0" w:space="0" w:color="auto"/>
        <w:left w:val="none" w:sz="0" w:space="0" w:color="auto"/>
        <w:bottom w:val="none" w:sz="0" w:space="0" w:color="auto"/>
        <w:right w:val="none" w:sz="0" w:space="0" w:color="auto"/>
      </w:divBdr>
    </w:div>
    <w:div w:id="2104371922">
      <w:bodyDiv w:val="1"/>
      <w:marLeft w:val="0"/>
      <w:marRight w:val="0"/>
      <w:marTop w:val="0"/>
      <w:marBottom w:val="0"/>
      <w:divBdr>
        <w:top w:val="none" w:sz="0" w:space="0" w:color="auto"/>
        <w:left w:val="none" w:sz="0" w:space="0" w:color="auto"/>
        <w:bottom w:val="none" w:sz="0" w:space="0" w:color="auto"/>
        <w:right w:val="none" w:sz="0" w:space="0" w:color="auto"/>
      </w:divBdr>
      <w:divsChild>
        <w:div w:id="1155730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ana.lepik@agri.ee" TargetMode="External"/><Relationship Id="rId3" Type="http://schemas.openxmlformats.org/officeDocument/2006/relationships/settings" Target="settings.xml"/><Relationship Id="rId7" Type="http://schemas.openxmlformats.org/officeDocument/2006/relationships/hyperlink" Target="mailto:kalev.karisalu@agri.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ur-lex.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15695</Words>
  <Characters>91032</Characters>
  <Application>Microsoft Office Word</Application>
  <DocSecurity>0</DocSecurity>
  <Lines>758</Lines>
  <Paragraphs>213</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Põllumajandusministeerium</Company>
  <LinksUpToDate>false</LinksUpToDate>
  <CharactersWithSpaces>106514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Raili Sillart</dc:creator>
  <cp:lastModifiedBy>Elen Liiv</cp:lastModifiedBy>
  <cp:revision>2</cp:revision>
  <cp:lastPrinted>2014-08-25T10:51:00Z</cp:lastPrinted>
  <dcterms:created xsi:type="dcterms:W3CDTF">2023-03-27T10:34:00Z</dcterms:created>
  <dcterms:modified xsi:type="dcterms:W3CDTF">2023-03-27T10:34:00Z</dcterms:modified>
</cp:coreProperties>
</file>