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978AE" w14:textId="37E49D1A" w:rsidR="006704D8" w:rsidRDefault="00F7438F" w:rsidP="001D7871">
      <w:pPr>
        <w:pStyle w:val="Pealkiri1"/>
      </w:pPr>
      <w:r>
        <w:t>Otsekülviku</w:t>
      </w:r>
      <w:r w:rsidR="003E2B60">
        <w:t xml:space="preserve"> </w:t>
      </w:r>
      <w:r w:rsidR="006F706A">
        <w:t xml:space="preserve">kriteeriumid ja ketasseemendi </w:t>
      </w:r>
      <w:r>
        <w:t>surve kontrollimise arvutuskäik.</w:t>
      </w:r>
    </w:p>
    <w:p w14:paraId="77DCA530" w14:textId="77777777" w:rsidR="00157729" w:rsidRDefault="00157729"/>
    <w:p w14:paraId="12876CB4" w14:textId="52D95D49" w:rsidR="00603EFF" w:rsidRDefault="006F706A">
      <w:r>
        <w:t>Otsekülvikuteks loetakse</w:t>
      </w:r>
      <w:r w:rsidR="003E2B60">
        <w:t xml:space="preserve"> käesolevas toetusmeetmes</w:t>
      </w:r>
      <w:r>
        <w:t xml:space="preserve"> külviku</w:t>
      </w:r>
      <w:r w:rsidR="003E2B60">
        <w:t>i</w:t>
      </w:r>
      <w:r>
        <w:t xml:space="preserve">d, millega on </w:t>
      </w:r>
      <w:r w:rsidR="0075420B">
        <w:t xml:space="preserve">võimalik külvata </w:t>
      </w:r>
      <w:r w:rsidR="003E2B60">
        <w:t>seemneid</w:t>
      </w:r>
      <w:r w:rsidR="0075420B">
        <w:t xml:space="preserve"> ilma </w:t>
      </w:r>
      <w:r w:rsidR="003E2B60">
        <w:t>eelneva töökäiguga tehtud mulla</w:t>
      </w:r>
      <w:r w:rsidR="0075420B">
        <w:t xml:space="preserve">harimiseta. Sellised on kõik põimkülvikud (külvikud, millel on ketaste, piide või freesiga mullaharimise </w:t>
      </w:r>
      <w:r w:rsidR="001369BA">
        <w:t>seadmed). Samuti</w:t>
      </w:r>
      <w:r w:rsidR="0075420B">
        <w:t xml:space="preserve"> l</w:t>
      </w:r>
      <w:r w:rsidR="001D7871">
        <w:t xml:space="preserve">oetakse </w:t>
      </w:r>
      <w:r w:rsidR="0075420B">
        <w:t xml:space="preserve">otsekülvikuks </w:t>
      </w:r>
      <w:r w:rsidR="001D7871">
        <w:t xml:space="preserve">need </w:t>
      </w:r>
      <w:r w:rsidR="006327B1">
        <w:t>ketas</w:t>
      </w:r>
      <w:r w:rsidR="001D7871">
        <w:t>seemendiga külvikud, millel ühele seemendile langeb vähemalt 100</w:t>
      </w:r>
      <w:r w:rsidR="006327B1">
        <w:t>-</w:t>
      </w:r>
      <w:r w:rsidR="001D7871">
        <w:t>k</w:t>
      </w:r>
      <w:r w:rsidR="003E2B60">
        <w:t>ilogrammine koormus</w:t>
      </w:r>
      <w:r w:rsidR="001D7871">
        <w:t xml:space="preserve"> </w:t>
      </w:r>
      <w:r w:rsidR="001D7871" w:rsidRPr="001369BA">
        <w:rPr>
          <w:b/>
        </w:rPr>
        <w:t>tühja</w:t>
      </w:r>
      <w:r w:rsidR="001D7871">
        <w:t xml:space="preserve"> külvisekasti korral.</w:t>
      </w:r>
      <w:r>
        <w:t xml:space="preserve"> Otsekülvivõimelised on veel käpp-, vedrupii- ja sõrgseemendi</w:t>
      </w:r>
      <w:r w:rsidR="00603EFF">
        <w:t>tega külvikud.</w:t>
      </w:r>
    </w:p>
    <w:p w14:paraId="7061DF6C" w14:textId="7DC5E2B1" w:rsidR="00F7438F" w:rsidRDefault="001369BA">
      <w:r>
        <w:t>Lõikeketasteta s</w:t>
      </w:r>
      <w:r w:rsidR="006F706A">
        <w:t xml:space="preserve">ahkseemendeid </w:t>
      </w:r>
      <w:r w:rsidR="006F706A" w:rsidRPr="001369BA">
        <w:rPr>
          <w:b/>
        </w:rPr>
        <w:t>ei loeta</w:t>
      </w:r>
      <w:r w:rsidR="006F706A">
        <w:t xml:space="preserve"> otsekülvivõimelisteks.</w:t>
      </w:r>
      <w:r w:rsidR="00157729">
        <w:t xml:space="preserve"> Samuti ei loeta otsekülvikuteks </w:t>
      </w:r>
      <w:proofErr w:type="spellStart"/>
      <w:r w:rsidR="00157729">
        <w:t>mullaharimisseadmele</w:t>
      </w:r>
      <w:proofErr w:type="spellEnd"/>
      <w:r w:rsidR="00157729">
        <w:t xml:space="preserve"> (näiteks rullrandaalile või kobestile või vedrupiiäkkele) lisatud peenseemnekülvikut (</w:t>
      </w:r>
      <w:proofErr w:type="spellStart"/>
      <w:r w:rsidR="00157729">
        <w:t>seemnepaiskurit</w:t>
      </w:r>
      <w:proofErr w:type="spellEnd"/>
      <w:r w:rsidR="00157729">
        <w:t>).</w:t>
      </w:r>
    </w:p>
    <w:p w14:paraId="75C52E9D" w14:textId="77777777" w:rsidR="00262EE4" w:rsidRDefault="00262EE4">
      <w:r>
        <w:t>Ketasseemendite surve arvutamise käik.</w:t>
      </w:r>
    </w:p>
    <w:p w14:paraId="289A2AF5" w14:textId="77777777" w:rsidR="00262EE4" w:rsidRDefault="00262EE4">
      <w:r>
        <w:t>Vajalikud andmed:</w:t>
      </w:r>
    </w:p>
    <w:p w14:paraId="3D6EBE77" w14:textId="5F1E4232" w:rsidR="00F7438F" w:rsidRDefault="00F7438F" w:rsidP="00262EE4">
      <w:pPr>
        <w:pStyle w:val="Loendilik"/>
        <w:numPr>
          <w:ilvl w:val="0"/>
          <w:numId w:val="1"/>
        </w:numPr>
      </w:pPr>
      <w:r>
        <w:t xml:space="preserve">Masina </w:t>
      </w:r>
      <w:r w:rsidR="001D7871">
        <w:t xml:space="preserve">tühimass, kg:  </w:t>
      </w:r>
      <w:r w:rsidR="001D7871" w:rsidRPr="00262EE4">
        <w:rPr>
          <w:i/>
        </w:rPr>
        <w:t>näiteks 1</w:t>
      </w:r>
      <w:r w:rsidR="00E41B1C">
        <w:rPr>
          <w:i/>
        </w:rPr>
        <w:t>9</w:t>
      </w:r>
      <w:r w:rsidRPr="00262EE4">
        <w:rPr>
          <w:i/>
        </w:rPr>
        <w:t>00 kg</w:t>
      </w:r>
    </w:p>
    <w:p w14:paraId="5C8D9D51" w14:textId="77777777" w:rsidR="00F7438F" w:rsidRDefault="00F7438F" w:rsidP="00262EE4">
      <w:pPr>
        <w:pStyle w:val="Loendilik"/>
        <w:numPr>
          <w:ilvl w:val="0"/>
          <w:numId w:val="1"/>
        </w:numPr>
      </w:pPr>
      <w:r>
        <w:t xml:space="preserve">Seemendi reavahe, cm: </w:t>
      </w:r>
      <w:r w:rsidRPr="00603EFF">
        <w:rPr>
          <w:i/>
        </w:rPr>
        <w:t xml:space="preserve">näiteks </w:t>
      </w:r>
      <w:r w:rsidR="001D7871" w:rsidRPr="00603EFF">
        <w:rPr>
          <w:i/>
        </w:rPr>
        <w:t>18,8</w:t>
      </w:r>
      <w:r w:rsidRPr="00603EFF">
        <w:rPr>
          <w:i/>
        </w:rPr>
        <w:t xml:space="preserve"> cm</w:t>
      </w:r>
    </w:p>
    <w:p w14:paraId="3FD90E35" w14:textId="77777777" w:rsidR="00F7438F" w:rsidRDefault="00F7438F" w:rsidP="00262EE4">
      <w:pPr>
        <w:pStyle w:val="Loendilik"/>
        <w:numPr>
          <w:ilvl w:val="0"/>
          <w:numId w:val="1"/>
        </w:numPr>
      </w:pPr>
      <w:r>
        <w:t xml:space="preserve">Masina haardelaius, m: </w:t>
      </w:r>
      <w:r w:rsidRPr="00603EFF">
        <w:rPr>
          <w:i/>
        </w:rPr>
        <w:t>näiteks 3,0</w:t>
      </w:r>
      <w:r w:rsidR="00603EFF">
        <w:rPr>
          <w:i/>
        </w:rPr>
        <w:t xml:space="preserve"> m</w:t>
      </w:r>
    </w:p>
    <w:p w14:paraId="0502E2AC" w14:textId="77777777" w:rsidR="001D7871" w:rsidRPr="001369BA" w:rsidRDefault="001D7871">
      <w:pPr>
        <w:rPr>
          <w:i/>
        </w:rPr>
      </w:pPr>
      <w:r w:rsidRPr="001369BA">
        <w:rPr>
          <w:i/>
        </w:rPr>
        <w:t>Seemendite arvu enamasti antud ei ole.</w:t>
      </w:r>
    </w:p>
    <w:p w14:paraId="5ABE84AC" w14:textId="02C2F208" w:rsidR="00F7438F" w:rsidRDefault="00F7438F">
      <w:r>
        <w:t xml:space="preserve">Seega on </w:t>
      </w:r>
      <w:r w:rsidR="001D7871">
        <w:t>esimene</w:t>
      </w:r>
      <w:r w:rsidR="00603EFF">
        <w:t xml:space="preserve"> etapp</w:t>
      </w:r>
      <w:r w:rsidR="001D7871">
        <w:t xml:space="preserve"> </w:t>
      </w:r>
      <w:r>
        <w:t xml:space="preserve">seemendite arvu </w:t>
      </w:r>
      <w:r w:rsidR="001369BA">
        <w:t>leidmine</w:t>
      </w:r>
      <w:r w:rsidR="003F1416">
        <w:t>. Selle juures on oluline meeles pidada, et seemendeid on ühe võrra rohkem reavahedest.</w:t>
      </w:r>
    </w:p>
    <w:p w14:paraId="59F4B06C" w14:textId="31D9DAE3" w:rsidR="00F7438F" w:rsidRPr="001D7871" w:rsidRDefault="00157729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haardelaius meetrites*100</m:t>
              </m:r>
            </m:num>
            <m:den>
              <m:r>
                <w:rPr>
                  <w:rFonts w:ascii="Cambria Math" w:hAnsi="Cambria Math"/>
                </w:rPr>
                <m:t>reavahe sentimeetrites</m:t>
              </m:r>
            </m:den>
          </m:f>
          <m:r>
            <w:rPr>
              <w:rFonts w:ascii="Cambria Math" w:hAnsi="Cambria Math"/>
            </w:rPr>
            <m:t>+1</m:t>
          </m:r>
        </m:oMath>
      </m:oMathPara>
    </w:p>
    <w:p w14:paraId="1B20F554" w14:textId="77777777" w:rsidR="001D7871" w:rsidRPr="00F7438F" w:rsidRDefault="001D7871">
      <w:pPr>
        <w:rPr>
          <w:rFonts w:eastAsiaTheme="minorEastAsia"/>
        </w:rPr>
      </w:pPr>
      <w:r>
        <w:rPr>
          <w:rFonts w:eastAsiaTheme="minorEastAsia"/>
        </w:rPr>
        <w:t>Näide:</w:t>
      </w:r>
    </w:p>
    <w:p w14:paraId="5A70660A" w14:textId="07C48B7F" w:rsidR="00F7438F" w:rsidRPr="00262EE4" w:rsidRDefault="00157729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3*100</m:t>
              </m:r>
            </m:num>
            <m:den>
              <m:r>
                <w:rPr>
                  <w:rFonts w:ascii="Cambria Math" w:hAnsi="Cambria Math"/>
                </w:rPr>
                <m:t>18,8</m:t>
              </m:r>
            </m:den>
          </m:f>
          <m:r>
            <w:rPr>
              <w:rFonts w:ascii="Cambria Math" w:hAnsi="Cambria Math"/>
            </w:rPr>
            <m:t>+1=</m:t>
          </m:r>
          <m:r>
            <w:rPr>
              <w:rFonts w:ascii="Cambria Math" w:eastAsiaTheme="minorEastAsia" w:hAnsi="Cambria Math"/>
            </w:rPr>
            <m:t>17,95 tk</m:t>
          </m:r>
        </m:oMath>
      </m:oMathPara>
    </w:p>
    <w:p w14:paraId="245A0047" w14:textId="23DCF300" w:rsidR="001735F7" w:rsidRDefault="001369BA">
      <w:pPr>
        <w:rPr>
          <w:rFonts w:eastAsiaTheme="minorEastAsia"/>
        </w:rPr>
      </w:pPr>
      <w:r>
        <w:rPr>
          <w:rFonts w:eastAsiaTheme="minorEastAsia"/>
        </w:rPr>
        <w:t xml:space="preserve">Ümardame </w:t>
      </w:r>
      <w:r w:rsidR="00157729">
        <w:rPr>
          <w:rFonts w:eastAsiaTheme="minorEastAsia"/>
        </w:rPr>
        <w:t xml:space="preserve">tulemuse </w:t>
      </w:r>
      <w:r>
        <w:rPr>
          <w:rFonts w:eastAsiaTheme="minorEastAsia"/>
        </w:rPr>
        <w:t>matemaatikareeglite kohaselt üles</w:t>
      </w:r>
      <w:r w:rsidR="00157729">
        <w:rPr>
          <w:rFonts w:eastAsiaTheme="minorEastAsia"/>
        </w:rPr>
        <w:t xml:space="preserve"> ja valime edasiseks arvutuseks </w:t>
      </w:r>
      <w:r w:rsidR="00157729" w:rsidRPr="00157729">
        <w:rPr>
          <w:rFonts w:eastAsiaTheme="minorEastAsia"/>
          <w:b/>
          <w:bCs/>
        </w:rPr>
        <w:t>18 seemendit</w:t>
      </w:r>
      <w:r w:rsidR="00157729">
        <w:rPr>
          <w:rFonts w:eastAsiaTheme="minorEastAsia"/>
        </w:rPr>
        <w:t>.</w:t>
      </w:r>
    </w:p>
    <w:p w14:paraId="2A2A46D6" w14:textId="77777777" w:rsidR="001D7871" w:rsidRDefault="001D7871">
      <w:pPr>
        <w:rPr>
          <w:rFonts w:eastAsiaTheme="minorEastAsia"/>
        </w:rPr>
      </w:pPr>
      <w:r>
        <w:rPr>
          <w:rFonts w:eastAsiaTheme="minorEastAsia"/>
        </w:rPr>
        <w:t>Saadud seemendite arvuga jagame külviku tühimassi:</w:t>
      </w:r>
    </w:p>
    <w:p w14:paraId="32EC3BC3" w14:textId="37B8B047" w:rsidR="001D7871" w:rsidRPr="001D7871" w:rsidRDefault="00157729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külviku tühimass kg</m:t>
              </m:r>
            </m:num>
            <m:den>
              <m:r>
                <w:rPr>
                  <w:rFonts w:ascii="Cambria Math" w:hAnsi="Cambria Math"/>
                </w:rPr>
                <m:t>seemendite arv</m:t>
              </m:r>
            </m:den>
          </m:f>
        </m:oMath>
      </m:oMathPara>
    </w:p>
    <w:p w14:paraId="2BBD6E46" w14:textId="77777777" w:rsidR="001D7871" w:rsidRPr="00F7438F" w:rsidRDefault="001D7871" w:rsidP="001D7871">
      <w:pPr>
        <w:rPr>
          <w:rFonts w:eastAsiaTheme="minorEastAsia"/>
        </w:rPr>
      </w:pPr>
      <w:r>
        <w:rPr>
          <w:rFonts w:eastAsiaTheme="minorEastAsia"/>
        </w:rPr>
        <w:t>Näide:</w:t>
      </w:r>
    </w:p>
    <w:p w14:paraId="1D3C4361" w14:textId="7881F6B3" w:rsidR="001D7871" w:rsidRPr="00262EE4" w:rsidRDefault="00157729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1900</m:t>
              </m:r>
            </m:num>
            <m:den>
              <m:r>
                <w:rPr>
                  <w:rFonts w:ascii="Cambria Math" w:hAnsi="Cambria Math"/>
                </w:rPr>
                <m:t>18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 xml:space="preserve"> 105,6… kg&gt;100 kg</m:t>
          </m:r>
        </m:oMath>
      </m:oMathPara>
    </w:p>
    <w:p w14:paraId="2BF1B2D0" w14:textId="77777777" w:rsidR="00262EE4" w:rsidRDefault="00262EE4">
      <w:pPr>
        <w:rPr>
          <w:rFonts w:eastAsiaTheme="minorEastAsia"/>
        </w:rPr>
      </w:pPr>
    </w:p>
    <w:p w14:paraId="72658F7B" w14:textId="77777777" w:rsidR="00262EE4" w:rsidRDefault="001369BA">
      <w:pPr>
        <w:rPr>
          <w:rFonts w:eastAsiaTheme="minorEastAsia"/>
        </w:rPr>
      </w:pPr>
      <w:r w:rsidRPr="00262EE4">
        <w:rPr>
          <w:rFonts w:eastAsiaTheme="minorEastAsia"/>
          <w:u w:val="single"/>
        </w:rPr>
        <w:t>Järeldus</w:t>
      </w:r>
      <w:r>
        <w:rPr>
          <w:rFonts w:eastAsiaTheme="minorEastAsia"/>
        </w:rPr>
        <w:t xml:space="preserve">. </w:t>
      </w:r>
    </w:p>
    <w:p w14:paraId="3D3E4B2F" w14:textId="77777777" w:rsidR="001369BA" w:rsidRPr="006F706A" w:rsidRDefault="00262EE4">
      <w:pPr>
        <w:rPr>
          <w:rFonts w:eastAsiaTheme="minorEastAsia"/>
        </w:rPr>
      </w:pPr>
      <w:r>
        <w:rPr>
          <w:rFonts w:eastAsiaTheme="minorEastAsia"/>
        </w:rPr>
        <w:t>Näites toodud andmetega</w:t>
      </w:r>
      <w:r w:rsidR="001369BA">
        <w:rPr>
          <w:rFonts w:eastAsiaTheme="minorEastAsia"/>
        </w:rPr>
        <w:t xml:space="preserve"> külvik on otsekülviks võimeline.</w:t>
      </w:r>
    </w:p>
    <w:sectPr w:rsidR="001369BA" w:rsidRPr="006F706A" w:rsidSect="001577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31D68"/>
    <w:multiLevelType w:val="hybridMultilevel"/>
    <w:tmpl w:val="A69ACB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15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38F"/>
    <w:rsid w:val="001369BA"/>
    <w:rsid w:val="00157729"/>
    <w:rsid w:val="001735F7"/>
    <w:rsid w:val="001D7871"/>
    <w:rsid w:val="00262EE4"/>
    <w:rsid w:val="003E2B60"/>
    <w:rsid w:val="003F1416"/>
    <w:rsid w:val="004D78D7"/>
    <w:rsid w:val="00603EFF"/>
    <w:rsid w:val="006327B1"/>
    <w:rsid w:val="006704D8"/>
    <w:rsid w:val="006F706A"/>
    <w:rsid w:val="0075420B"/>
    <w:rsid w:val="00E41B1C"/>
    <w:rsid w:val="00F7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513D"/>
  <w15:docId w15:val="{24057C43-7D72-4078-BBB3-EE2A8AAFE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1D78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F7438F"/>
    <w:rPr>
      <w:color w:val="80808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743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7438F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1D7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oendilik">
    <w:name w:val="List Paragraph"/>
    <w:basedOn w:val="Normaallaad"/>
    <w:uiPriority w:val="34"/>
    <w:qFormat/>
    <w:rsid w:val="00262EE4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3E2B6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E2B6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E2B6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E2B6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E2B60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3E2B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1332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Taavi Võsa</cp:lastModifiedBy>
  <cp:revision>2</cp:revision>
  <dcterms:created xsi:type="dcterms:W3CDTF">2023-03-10T09:48:00Z</dcterms:created>
  <dcterms:modified xsi:type="dcterms:W3CDTF">2023-03-10T09:48:00Z</dcterms:modified>
</cp:coreProperties>
</file>