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CC" w:rsidRPr="00971FD2" w:rsidRDefault="008B33CC">
      <w:pPr>
        <w:pStyle w:val="Heading1"/>
        <w:jc w:val="center"/>
        <w:rPr>
          <w:sz w:val="28"/>
          <w:lang w:val="et-EE"/>
        </w:rPr>
      </w:pPr>
      <w:r w:rsidRPr="00971FD2">
        <w:rPr>
          <w:sz w:val="28"/>
          <w:lang w:val="et-EE"/>
        </w:rPr>
        <w:t>Põllumajanduse Registrite ja Informatsiooni Amet</w:t>
      </w:r>
    </w:p>
    <w:p w:rsidR="008B33CC" w:rsidRPr="00971FD2" w:rsidRDefault="008B33CC">
      <w:pPr>
        <w:pStyle w:val="Heading1"/>
        <w:jc w:val="center"/>
        <w:rPr>
          <w:sz w:val="32"/>
          <w:lang w:val="et-EE"/>
        </w:rPr>
      </w:pPr>
      <w:r w:rsidRPr="00971FD2">
        <w:rPr>
          <w:sz w:val="32"/>
          <w:lang w:val="et-EE"/>
        </w:rPr>
        <w:t>AMETIJUHEND</w:t>
      </w:r>
    </w:p>
    <w:p w:rsidR="008B33CC" w:rsidRPr="00971FD2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B33CC" w:rsidRPr="00971FD2">
        <w:tc>
          <w:tcPr>
            <w:tcW w:w="4261" w:type="dxa"/>
          </w:tcPr>
          <w:p w:rsidR="008B33CC" w:rsidRPr="00971FD2" w:rsidRDefault="00971FD2">
            <w:pPr>
              <w:pStyle w:val="Heading2"/>
              <w:jc w:val="left"/>
              <w:rPr>
                <w:lang w:val="et-EE"/>
              </w:rPr>
            </w:pPr>
            <w:r w:rsidRPr="00971FD2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:rsidR="008B33CC" w:rsidRPr="00971FD2" w:rsidRDefault="00971FD2">
            <w:r>
              <w:t>P</w:t>
            </w:r>
            <w:r w:rsidR="008B33CC" w:rsidRPr="00971FD2">
              <w:t>easpetsialist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pStyle w:val="Heading2"/>
              <w:jc w:val="left"/>
              <w:rPr>
                <w:lang w:val="et-EE"/>
              </w:rPr>
            </w:pPr>
            <w:r w:rsidRPr="00971FD2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:rsidR="008B33CC" w:rsidRPr="00971FD2" w:rsidRDefault="00A56028">
            <w:pPr>
              <w:rPr>
                <w:b/>
              </w:rPr>
            </w:pPr>
            <w:r>
              <w:rPr>
                <w:b/>
              </w:rPr>
              <w:t>Robert Juuse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Otsetoetuste osakond,</w:t>
            </w:r>
            <w:r w:rsidR="00971FD2">
              <w:t xml:space="preserve"> </w:t>
            </w:r>
            <w:r w:rsidRPr="00971FD2">
              <w:t>põldude registri büroo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Põldude registri büroo juhataja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Ei ole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Põldude registri büroo peaspetsialist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Põldude registri büroo peaspetsialist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rPr>
                <w:b/>
                <w:sz w:val="28"/>
              </w:rPr>
            </w:pPr>
            <w:r w:rsidRPr="00971FD2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>Põldude registri büroo peaspetsialist</w:t>
            </w:r>
            <w:r w:rsidR="00971FD2">
              <w:t>i</w:t>
            </w:r>
          </w:p>
        </w:tc>
      </w:tr>
      <w:tr w:rsidR="008B33CC" w:rsidRPr="00971FD2">
        <w:tc>
          <w:tcPr>
            <w:tcW w:w="4261" w:type="dxa"/>
          </w:tcPr>
          <w:p w:rsidR="008B33CC" w:rsidRPr="00971FD2" w:rsidRDefault="008B33CC">
            <w:pPr>
              <w:pStyle w:val="Heading4"/>
              <w:rPr>
                <w:color w:val="auto"/>
              </w:rPr>
            </w:pPr>
            <w:r w:rsidRPr="00971FD2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:rsidR="008B33CC" w:rsidRPr="00971FD2" w:rsidRDefault="008B33CC">
            <w:r w:rsidRPr="00971FD2">
              <w:t xml:space="preserve">Kohustuslik </w:t>
            </w:r>
            <w:r w:rsidR="00971FD2" w:rsidRPr="00971FD2">
              <w:t>arengu- ja hindamisvestlus</w:t>
            </w:r>
            <w:r w:rsidRPr="00971FD2">
              <w:t xml:space="preserve"> vahetu juhiga vähemalt 1 kord aastas</w:t>
            </w:r>
          </w:p>
        </w:tc>
      </w:tr>
    </w:tbl>
    <w:p w:rsidR="008B33CC" w:rsidRPr="00971FD2" w:rsidRDefault="008B33CC"/>
    <w:p w:rsidR="008B33CC" w:rsidRPr="00971FD2" w:rsidRDefault="008B33CC">
      <w:pPr>
        <w:pStyle w:val="Heading3"/>
        <w:jc w:val="center"/>
        <w:rPr>
          <w:sz w:val="28"/>
          <w:lang w:val="et-EE"/>
        </w:rPr>
      </w:pPr>
      <w:r w:rsidRPr="00971FD2">
        <w:rPr>
          <w:sz w:val="28"/>
          <w:lang w:val="et-EE"/>
        </w:rPr>
        <w:t>TÖÖ LÜHIKIRJELDUS</w:t>
      </w:r>
    </w:p>
    <w:p w:rsidR="004058CA" w:rsidRDefault="004058CA" w:rsidP="004058CA">
      <w:pPr>
        <w:tabs>
          <w:tab w:val="left" w:pos="-142"/>
        </w:tabs>
        <w:jc w:val="both"/>
      </w:pPr>
    </w:p>
    <w:p w:rsidR="0097030B" w:rsidRPr="00971FD2" w:rsidRDefault="00D80B46" w:rsidP="004058CA">
      <w:pPr>
        <w:tabs>
          <w:tab w:val="left" w:pos="-284"/>
        </w:tabs>
        <w:ind w:left="-142" w:right="-52"/>
        <w:jc w:val="both"/>
      </w:pPr>
      <w:r w:rsidRPr="00971FD2">
        <w:t xml:space="preserve">Põldude registri büroo peaspetsialisti töö eesmärgiks on tagada </w:t>
      </w:r>
      <w:r w:rsidR="0097030B" w:rsidRPr="00971FD2">
        <w:t xml:space="preserve">põllumassiivide registri funktsioneerimine ning põllumassiivide administratiivse ristkontrolli läbiviimine pindalapõhiste maaelu arengukava toetuste ja otsetoetuste administreerimiseks vajalikul tasemel </w:t>
      </w:r>
      <w:r w:rsidRPr="00971FD2">
        <w:t>vastavalt kehtivale seadusandlusele ja operatiivse info tagamine asutuse klientidele oma tööd puudutavates küsimustes. Töö tulemusena on tagatud õigeaegsed ja täpsed andmed pindalatoetuste menetlemiseks.</w:t>
      </w:r>
      <w:r w:rsidR="0097030B" w:rsidRPr="00971FD2">
        <w:t xml:space="preserve"> </w:t>
      </w:r>
    </w:p>
    <w:p w:rsidR="008B33CC" w:rsidRPr="00971FD2" w:rsidRDefault="008B33CC">
      <w:pPr>
        <w:jc w:val="both"/>
      </w:pPr>
    </w:p>
    <w:p w:rsidR="008B33CC" w:rsidRPr="00971FD2" w:rsidRDefault="008B33CC" w:rsidP="004058CA">
      <w:pPr>
        <w:pStyle w:val="BodyText"/>
        <w:tabs>
          <w:tab w:val="left" w:pos="0"/>
        </w:tabs>
        <w:ind w:left="-142" w:right="-58"/>
        <w:rPr>
          <w:color w:val="000000"/>
        </w:rPr>
      </w:pPr>
      <w:r w:rsidRPr="00971FD2">
        <w:rPr>
          <w:color w:val="000000"/>
        </w:rPr>
        <w:t>Teenistuja juhindub oma töös avaliku teenistuse seadusest, tööga seotud õigusaktidest, Põllumajanduse Registrite ja Informatsiooni Ameti (edaspidi PRIA) ja osakonna põhimäärusest, sisekorraeeskirjast</w:t>
      </w:r>
      <w:r w:rsidR="00166E07" w:rsidRPr="00971FD2">
        <w:rPr>
          <w:color w:val="000000"/>
        </w:rPr>
        <w:t>, PRIA teenindusstandardist</w:t>
      </w:r>
      <w:r w:rsidRPr="00971FD2">
        <w:rPr>
          <w:color w:val="000000"/>
        </w:rPr>
        <w:t xml:space="preserve"> ning antud ametijuhendist</w:t>
      </w:r>
      <w:r w:rsidRPr="00971FD2">
        <w:t>.</w:t>
      </w:r>
    </w:p>
    <w:p w:rsidR="008B33CC" w:rsidRPr="00971FD2" w:rsidRDefault="008B33CC">
      <w:pPr>
        <w:ind w:right="-58"/>
      </w:pPr>
    </w:p>
    <w:p w:rsidR="008B33CC" w:rsidRPr="00971FD2" w:rsidRDefault="008B33CC">
      <w:pPr>
        <w:pStyle w:val="Heading3"/>
        <w:jc w:val="center"/>
        <w:rPr>
          <w:sz w:val="28"/>
          <w:lang w:val="et-EE"/>
        </w:rPr>
      </w:pPr>
      <w:r w:rsidRPr="00971FD2">
        <w:rPr>
          <w:sz w:val="28"/>
          <w:lang w:val="et-EE"/>
        </w:rPr>
        <w:t>TEENISTUSKOHUSTUSED</w:t>
      </w:r>
    </w:p>
    <w:p w:rsidR="008B33CC" w:rsidRDefault="008B33CC"/>
    <w:p w:rsidR="00EF7B78" w:rsidRPr="00971FD2" w:rsidRDefault="00EF7B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8B33CC" w:rsidRPr="00971FD2">
        <w:tc>
          <w:tcPr>
            <w:tcW w:w="4248" w:type="dxa"/>
          </w:tcPr>
          <w:p w:rsidR="008B33CC" w:rsidRPr="00971FD2" w:rsidRDefault="008B33CC">
            <w:pPr>
              <w:jc w:val="center"/>
              <w:rPr>
                <w:b/>
              </w:rPr>
            </w:pPr>
            <w:r w:rsidRPr="00971FD2">
              <w:rPr>
                <w:b/>
              </w:rPr>
              <w:t>Peamised tööülesanded</w:t>
            </w:r>
          </w:p>
        </w:tc>
        <w:tc>
          <w:tcPr>
            <w:tcW w:w="4274" w:type="dxa"/>
          </w:tcPr>
          <w:p w:rsidR="008B33CC" w:rsidRPr="00971FD2" w:rsidRDefault="008B33CC">
            <w:pPr>
              <w:jc w:val="center"/>
              <w:rPr>
                <w:b/>
              </w:rPr>
            </w:pPr>
            <w:r w:rsidRPr="00971FD2">
              <w:rPr>
                <w:b/>
              </w:rPr>
              <w:t>Töötulemused ja kvaliteet</w:t>
            </w:r>
          </w:p>
        </w:tc>
      </w:tr>
      <w:tr w:rsidR="008B33CC" w:rsidRPr="00971FD2">
        <w:tc>
          <w:tcPr>
            <w:tcW w:w="4248" w:type="dxa"/>
          </w:tcPr>
          <w:p w:rsidR="00033284" w:rsidRPr="00971FD2" w:rsidRDefault="00C164EC" w:rsidP="00033284">
            <w:r>
              <w:rPr>
                <w:color w:val="000000"/>
              </w:rPr>
              <w:t>Põllumajandusliku</w:t>
            </w:r>
            <w:r w:rsidR="00033284" w:rsidRPr="00971FD2">
              <w:rPr>
                <w:color w:val="000000"/>
              </w:rPr>
              <w:t xml:space="preserve"> maa üle peetavat arvestust puudutava seadusandluse tundmine</w:t>
            </w:r>
            <w:r w:rsidR="00033284" w:rsidRPr="00971FD2">
              <w:t xml:space="preserve"> </w:t>
            </w:r>
          </w:p>
          <w:p w:rsidR="008B33CC" w:rsidRPr="00971FD2" w:rsidRDefault="008B33CC"/>
        </w:tc>
        <w:tc>
          <w:tcPr>
            <w:tcW w:w="4274" w:type="dxa"/>
          </w:tcPr>
          <w:p w:rsidR="008B33CC" w:rsidRPr="00971FD2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71FD2">
              <w:rPr>
                <w:color w:val="000000"/>
              </w:rPr>
              <w:t>Teenistuja teab kõiki nii Eesti Vabariigi kui Euroopa Liidu põllumajandusmaa üle peetavat arvestust puudutavaid seadusandlikke akte ning orienteerub nende sisus</w:t>
            </w:r>
          </w:p>
          <w:p w:rsidR="008B33CC" w:rsidRPr="00971FD2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71FD2">
              <w:rPr>
                <w:color w:val="000000"/>
              </w:rPr>
              <w:t>Teenistuja on kursis ettevalmistamisel olevate seaduseelnõudega</w:t>
            </w:r>
          </w:p>
          <w:p w:rsidR="007E6662" w:rsidRPr="00971FD2" w:rsidRDefault="008B33CC" w:rsidP="007E6662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71FD2">
              <w:rPr>
                <w:color w:val="000000"/>
              </w:rPr>
              <w:t>Teenistuja leiab vajadusel operatiivselt tööks vajalikud seadusaktid või nende alalõigud</w:t>
            </w:r>
          </w:p>
        </w:tc>
      </w:tr>
      <w:tr w:rsidR="000B03DD" w:rsidRPr="00971FD2" w:rsidTr="00DD1A76">
        <w:tc>
          <w:tcPr>
            <w:tcW w:w="4248" w:type="dxa"/>
          </w:tcPr>
          <w:p w:rsidR="000B03DD" w:rsidRPr="00971FD2" w:rsidRDefault="000B03DD" w:rsidP="00DD1A76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971FD2">
              <w:rPr>
                <w:lang w:val="et-EE"/>
              </w:rPr>
              <w:t>Põllumassiivide registri jooksev uuendamine</w:t>
            </w:r>
          </w:p>
        </w:tc>
        <w:tc>
          <w:tcPr>
            <w:tcW w:w="4274" w:type="dxa"/>
          </w:tcPr>
          <w:p w:rsidR="000B03DD" w:rsidRPr="00971FD2" w:rsidRDefault="000B03DD" w:rsidP="00A10CC9">
            <w:pPr>
              <w:numPr>
                <w:ilvl w:val="0"/>
                <w:numId w:val="1"/>
              </w:numPr>
            </w:pPr>
            <w:r w:rsidRPr="00A10CC9">
              <w:rPr>
                <w:color w:val="000000"/>
              </w:rPr>
              <w:t>Registri uuendamine on kooskõlas kehtivate õigusaktide, büroo protseduuride ja juhenditega</w:t>
            </w:r>
          </w:p>
        </w:tc>
      </w:tr>
      <w:tr w:rsidR="00DD1A76" w:rsidRPr="00971FD2" w:rsidTr="00DD1A76">
        <w:tc>
          <w:tcPr>
            <w:tcW w:w="4248" w:type="dxa"/>
          </w:tcPr>
          <w:p w:rsidR="00DD1A76" w:rsidRPr="00971FD2" w:rsidRDefault="00DD1A76" w:rsidP="00DD1A76">
            <w:r w:rsidRPr="00971FD2">
              <w:lastRenderedPageBreak/>
              <w:t>Põllumassiivide registri muudatustest teavitamine</w:t>
            </w:r>
          </w:p>
        </w:tc>
        <w:tc>
          <w:tcPr>
            <w:tcW w:w="4274" w:type="dxa"/>
          </w:tcPr>
          <w:p w:rsidR="00DD1A76" w:rsidRPr="00A10CC9" w:rsidRDefault="00DD1A76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A10CC9">
              <w:rPr>
                <w:color w:val="000000"/>
              </w:rPr>
              <w:t>On tagatud põllumassi</w:t>
            </w:r>
            <w:r w:rsidR="004E448C" w:rsidRPr="00A10CC9">
              <w:rPr>
                <w:color w:val="000000"/>
              </w:rPr>
              <w:t>ivi</w:t>
            </w:r>
            <w:r w:rsidRPr="00A10CC9">
              <w:rPr>
                <w:color w:val="000000"/>
              </w:rPr>
              <w:t xml:space="preserve">de kaartide kättesaadavus </w:t>
            </w:r>
            <w:r w:rsidR="005323A0" w:rsidRPr="00A10CC9">
              <w:rPr>
                <w:color w:val="000000"/>
              </w:rPr>
              <w:t>taotlejatele</w:t>
            </w:r>
          </w:p>
          <w:p w:rsidR="00DD1A76" w:rsidRPr="00971FD2" w:rsidRDefault="00DD1A76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A10CC9">
              <w:rPr>
                <w:color w:val="000000"/>
              </w:rPr>
              <w:t>Taotlejate teavitamine toimub vastavalt protseduurile</w:t>
            </w:r>
          </w:p>
        </w:tc>
      </w:tr>
      <w:tr w:rsidR="008B33CC" w:rsidRPr="00971FD2">
        <w:tc>
          <w:tcPr>
            <w:tcW w:w="4248" w:type="dxa"/>
          </w:tcPr>
          <w:p w:rsidR="008B33CC" w:rsidRPr="00971FD2" w:rsidRDefault="00C5462C">
            <w:r w:rsidRPr="00971FD2">
              <w:t xml:space="preserve">Põllumassiivide </w:t>
            </w:r>
            <w:r w:rsidR="00DD1A76" w:rsidRPr="00971FD2">
              <w:t xml:space="preserve">registrit ning </w:t>
            </w:r>
            <w:r w:rsidRPr="00971FD2">
              <w:t>ristkontrolli puudutavatele teabenõuetele ja vaietele vastamine</w:t>
            </w:r>
          </w:p>
        </w:tc>
        <w:tc>
          <w:tcPr>
            <w:tcW w:w="4274" w:type="dxa"/>
          </w:tcPr>
          <w:p w:rsidR="00C5462C" w:rsidRPr="00A10CC9" w:rsidRDefault="00C5462C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A10CC9">
              <w:rPr>
                <w:color w:val="000000"/>
              </w:rPr>
              <w:t>Teabenõuetele on vastatud tähtaegselt, kompetentselt ja taotlejale arusaadavalt</w:t>
            </w:r>
          </w:p>
          <w:p w:rsidR="008B33CC" w:rsidRPr="00971FD2" w:rsidRDefault="00C5462C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A10CC9">
              <w:rPr>
                <w:color w:val="000000"/>
              </w:rPr>
              <w:t>Vaiete sisuline informatsioon on õigeaegselt edastatud juriidilisele osakonnale</w:t>
            </w:r>
          </w:p>
        </w:tc>
      </w:tr>
      <w:tr w:rsidR="008B33CC" w:rsidRPr="00971FD2">
        <w:tc>
          <w:tcPr>
            <w:tcW w:w="4248" w:type="dxa"/>
          </w:tcPr>
          <w:p w:rsidR="008B33CC" w:rsidRPr="00971FD2" w:rsidRDefault="008B33CC">
            <w:r w:rsidRPr="00971FD2">
              <w:rPr>
                <w:color w:val="000000"/>
              </w:rPr>
              <w:t>Suhtlemine taotlejatega oma tööd puudutavates küsimustes</w:t>
            </w:r>
          </w:p>
        </w:tc>
        <w:tc>
          <w:tcPr>
            <w:tcW w:w="4274" w:type="dxa"/>
          </w:tcPr>
          <w:p w:rsidR="008B33CC" w:rsidRPr="00971FD2" w:rsidRDefault="008B33CC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71FD2">
              <w:rPr>
                <w:color w:val="000000"/>
              </w:rPr>
              <w:t>Suhtlemine on lahendusele suunatud, taotleja jaoks negatiivset lahendust põhjendatakse piisavalt ja arusaadavalt. Spetsialist on viisakas, abivalmis ja kannatlik</w:t>
            </w:r>
          </w:p>
        </w:tc>
      </w:tr>
      <w:tr w:rsidR="008B33CC" w:rsidRPr="00971FD2">
        <w:tc>
          <w:tcPr>
            <w:tcW w:w="4248" w:type="dxa"/>
          </w:tcPr>
          <w:p w:rsidR="008B33CC" w:rsidRPr="00971FD2" w:rsidRDefault="00C5462C">
            <w:r w:rsidRPr="00971FD2">
              <w:t>Osalemine pindalapõhiste toetuste administreerimisel</w:t>
            </w:r>
          </w:p>
        </w:tc>
        <w:tc>
          <w:tcPr>
            <w:tcW w:w="4274" w:type="dxa"/>
          </w:tcPr>
          <w:p w:rsidR="00C5462C" w:rsidRPr="00971FD2" w:rsidRDefault="00C5462C" w:rsidP="00C5462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71FD2">
              <w:rPr>
                <w:color w:val="000000"/>
              </w:rPr>
              <w:t>Teenistuja</w:t>
            </w:r>
            <w:r w:rsidRPr="00971FD2">
              <w:t xml:space="preserve"> on kursis pindalapõhiste toetuste seadusandluse, põhimõtete ja protseduuridega</w:t>
            </w:r>
            <w:r w:rsidR="004E448C" w:rsidRPr="00971FD2">
              <w:t xml:space="preserve"> </w:t>
            </w:r>
            <w:r w:rsidR="004E448C" w:rsidRPr="00971FD2">
              <w:rPr>
                <w:color w:val="000000"/>
              </w:rPr>
              <w:t>nii Eesti Vabariigis kui Euroopa Liidus</w:t>
            </w:r>
          </w:p>
          <w:p w:rsidR="008B33CC" w:rsidRPr="00971FD2" w:rsidRDefault="00C5462C" w:rsidP="00294F77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971FD2">
              <w:rPr>
                <w:color w:val="000000"/>
              </w:rPr>
              <w:t xml:space="preserve">Pindalapõhiste toetuste administreerimisel on kinni peetud osakondadevahelistes </w:t>
            </w:r>
            <w:r w:rsidR="0066761B" w:rsidRPr="00971FD2">
              <w:rPr>
                <w:color w:val="000000"/>
              </w:rPr>
              <w:t xml:space="preserve">ja büroosisestes </w:t>
            </w:r>
            <w:r w:rsidRPr="00971FD2">
              <w:rPr>
                <w:color w:val="000000"/>
              </w:rPr>
              <w:t>protseduurides märgitud tähtaegadest ja nõuetest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995E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71FD2">
              <w:rPr>
                <w:color w:val="000000"/>
              </w:rPr>
              <w:t>I</w:t>
            </w:r>
            <w:r w:rsidR="004104A7" w:rsidRPr="00971FD2">
              <w:rPr>
                <w:color w:val="000000"/>
              </w:rPr>
              <w:t>nfosüsteemi</w:t>
            </w:r>
            <w:r w:rsidRPr="00971FD2">
              <w:rPr>
                <w:color w:val="000000"/>
              </w:rPr>
              <w:t>de</w:t>
            </w:r>
            <w:r w:rsidR="004104A7" w:rsidRPr="00971FD2">
              <w:rPr>
                <w:color w:val="000000"/>
              </w:rPr>
              <w:t xml:space="preserve"> arendamine ja testimine</w:t>
            </w:r>
          </w:p>
        </w:tc>
        <w:tc>
          <w:tcPr>
            <w:tcW w:w="4274" w:type="dxa"/>
          </w:tcPr>
          <w:p w:rsidR="004104A7" w:rsidRPr="00A10CC9" w:rsidRDefault="004104A7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A10CC9">
              <w:rPr>
                <w:color w:val="000000"/>
              </w:rPr>
              <w:t xml:space="preserve">Teenistuja teeb operatiivselt ettepanekuid </w:t>
            </w:r>
            <w:r w:rsidR="00995E66" w:rsidRPr="00A10CC9">
              <w:rPr>
                <w:color w:val="000000"/>
              </w:rPr>
              <w:t xml:space="preserve">töös kasutatavate </w:t>
            </w:r>
            <w:r w:rsidRPr="00A10CC9">
              <w:rPr>
                <w:color w:val="000000"/>
              </w:rPr>
              <w:t>infosüsteemi</w:t>
            </w:r>
            <w:r w:rsidR="00995E66" w:rsidRPr="00A10CC9">
              <w:rPr>
                <w:color w:val="000000"/>
              </w:rPr>
              <w:t>de</w:t>
            </w:r>
            <w:r w:rsidRPr="00A10CC9">
              <w:rPr>
                <w:color w:val="000000"/>
              </w:rPr>
              <w:t xml:space="preserve"> arendamiseks vastavalt Eesti Vabariigis ja Euroopa Liidus kehtivale seadusandlusele</w:t>
            </w:r>
          </w:p>
          <w:p w:rsidR="004104A7" w:rsidRPr="00A10CC9" w:rsidRDefault="004104A7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A10CC9">
              <w:rPr>
                <w:color w:val="000000"/>
              </w:rPr>
              <w:t>Arendusettepanekud on kooskõlas riiklike stand</w:t>
            </w:r>
            <w:r w:rsidR="00BD586C" w:rsidRPr="00A10CC9">
              <w:rPr>
                <w:color w:val="000000"/>
              </w:rPr>
              <w:t>ardite ning klassifikaatoritega</w:t>
            </w:r>
          </w:p>
          <w:p w:rsidR="004104A7" w:rsidRPr="00971FD2" w:rsidRDefault="004104A7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71FD2">
              <w:rPr>
                <w:color w:val="000000"/>
              </w:rPr>
              <w:t>Vajalikud testimised on läbi viidud vastavalt juhendile ja testplaanile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t>Koolituste läbiviimine oma valdkonna piires</w:t>
            </w:r>
          </w:p>
        </w:tc>
        <w:tc>
          <w:tcPr>
            <w:tcW w:w="4274" w:type="dxa"/>
          </w:tcPr>
          <w:p w:rsidR="004104A7" w:rsidRPr="00971FD2" w:rsidRDefault="004104A7" w:rsidP="00A10CC9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A10CC9">
              <w:rPr>
                <w:color w:val="000000"/>
              </w:rPr>
              <w:t>Koolitused on läbi viidud vastavalt juhtivspetsialisti poolt antud korraldusele.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t>PRIA teiste valdkondade teenistujate nõustami</w:t>
            </w:r>
            <w:r w:rsidR="0029734B" w:rsidRPr="00971FD2">
              <w:t xml:space="preserve">ne põllumassiivide registrit, </w:t>
            </w:r>
            <w:r w:rsidRPr="00971FD2">
              <w:t xml:space="preserve">EAGIS-i </w:t>
            </w:r>
            <w:r w:rsidR="0029734B" w:rsidRPr="00971FD2">
              <w:t>ja</w:t>
            </w:r>
            <w:r w:rsidR="006D3617" w:rsidRPr="00971FD2">
              <w:t xml:space="preserve"> põllumassiivide ristkontrolli </w:t>
            </w:r>
            <w:r w:rsidRPr="00971FD2">
              <w:t>puudutavates küsimustes</w:t>
            </w:r>
          </w:p>
        </w:tc>
        <w:tc>
          <w:tcPr>
            <w:tcW w:w="4274" w:type="dxa"/>
          </w:tcPr>
          <w:p w:rsidR="004104A7" w:rsidRPr="00971FD2" w:rsidRDefault="004104A7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A10CC9">
              <w:rPr>
                <w:color w:val="000000"/>
              </w:rPr>
              <w:t>Teenistujad on saanud adekvaatset abi ja tõepärast informatsiooni.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t xml:space="preserve">Tööülesannete ja lisaülesannete täitmine vastavalt büroo juhtivspetsialisti </w:t>
            </w:r>
            <w:r w:rsidR="00365A3A">
              <w:t xml:space="preserve">ja büroojuhataja </w:t>
            </w:r>
            <w:r w:rsidRPr="00971FD2">
              <w:t>korraldusele</w:t>
            </w:r>
          </w:p>
        </w:tc>
        <w:tc>
          <w:tcPr>
            <w:tcW w:w="4274" w:type="dxa"/>
          </w:tcPr>
          <w:p w:rsidR="004104A7" w:rsidRPr="00971FD2" w:rsidRDefault="004104A7" w:rsidP="00365A3A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102E0">
              <w:rPr>
                <w:color w:val="000000"/>
              </w:rPr>
              <w:t>Tööülesanded ja lisaülesanded on tähtaegselt ja protseduuride kohaselt täidetud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t>Töökoosolekutel osalemine</w:t>
            </w:r>
          </w:p>
        </w:tc>
        <w:tc>
          <w:tcPr>
            <w:tcW w:w="4274" w:type="dxa"/>
          </w:tcPr>
          <w:p w:rsidR="004104A7" w:rsidRPr="00971FD2" w:rsidRDefault="004104A7" w:rsidP="009102E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102E0">
              <w:rPr>
                <w:color w:val="000000"/>
              </w:rPr>
              <w:t>Teenistuja on osa võtnud kõigist toimuvatest töökoosole</w:t>
            </w:r>
            <w:r w:rsidR="0006409A" w:rsidRPr="009102E0">
              <w:rPr>
                <w:color w:val="000000"/>
              </w:rPr>
              <w:t xml:space="preserve">kutest, kus tema kohalviibimine </w:t>
            </w:r>
            <w:r w:rsidRPr="009102E0">
              <w:rPr>
                <w:color w:val="000000"/>
              </w:rPr>
              <w:t>on kohustuslik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lastRenderedPageBreak/>
              <w:t>Informatsiooni andmine järelevalvet teostavate organisatsioonide esindajatele</w:t>
            </w:r>
          </w:p>
        </w:tc>
        <w:tc>
          <w:tcPr>
            <w:tcW w:w="4274" w:type="dxa"/>
          </w:tcPr>
          <w:p w:rsidR="004104A7" w:rsidRPr="009102E0" w:rsidRDefault="004104A7" w:rsidP="009102E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9102E0">
              <w:rPr>
                <w:color w:val="000000"/>
              </w:rPr>
              <w:t>Järelevalvet teostavate organisatsioonide esindajad on saanud neid rahuldava informatsiooni ametniku töö kohta</w:t>
            </w:r>
          </w:p>
          <w:p w:rsidR="004104A7" w:rsidRPr="00971FD2" w:rsidRDefault="00D31C66" w:rsidP="009102E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rPr>
                <w:color w:val="000000"/>
              </w:rPr>
              <w:t xml:space="preserve">Järelevalvet </w:t>
            </w:r>
            <w:r w:rsidR="004104A7" w:rsidRPr="009102E0">
              <w:rPr>
                <w:color w:val="000000"/>
              </w:rPr>
              <w:t>teostavate organisatsioonide esindajatele on osutatud igakülgset abi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4104A7">
            <w:r w:rsidRPr="00971FD2">
              <w:t>Infovahetuse korraldamine organisatsioonis</w:t>
            </w:r>
          </w:p>
        </w:tc>
        <w:tc>
          <w:tcPr>
            <w:tcW w:w="4274" w:type="dxa"/>
          </w:tcPr>
          <w:p w:rsidR="004104A7" w:rsidRPr="009102E0" w:rsidRDefault="004104A7" w:rsidP="009102E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9102E0">
              <w:rPr>
                <w:color w:val="000000"/>
              </w:rPr>
              <w:t xml:space="preserve">Vajalik info jõuab operatiivselt  kõikide osapoolteni </w:t>
            </w:r>
          </w:p>
          <w:p w:rsidR="004104A7" w:rsidRPr="00971FD2" w:rsidRDefault="004104A7" w:rsidP="009102E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102E0">
              <w:rPr>
                <w:color w:val="000000"/>
              </w:rPr>
              <w:t>Teenistuja on kinni pidanud konfidentsiaalsuse nõudest ja ei ole väljastanud oma töö käigus saadud informatsiooni asjasse mittepuutuvatele isikutele</w:t>
            </w:r>
          </w:p>
        </w:tc>
      </w:tr>
      <w:tr w:rsidR="004104A7" w:rsidRPr="00971FD2">
        <w:tc>
          <w:tcPr>
            <w:tcW w:w="4248" w:type="dxa"/>
          </w:tcPr>
          <w:p w:rsidR="004104A7" w:rsidRPr="00971FD2" w:rsidRDefault="001662FF" w:rsidP="001B1F81">
            <w:r w:rsidRPr="00971FD2">
              <w:t xml:space="preserve">Põllumassiivide registrit </w:t>
            </w:r>
            <w:r w:rsidR="004104A7" w:rsidRPr="00971FD2">
              <w:t>puudutavate dokumentide üle arvestuse pidamine</w:t>
            </w:r>
          </w:p>
        </w:tc>
        <w:tc>
          <w:tcPr>
            <w:tcW w:w="4274" w:type="dxa"/>
          </w:tcPr>
          <w:p w:rsidR="004104A7" w:rsidRPr="001B1F81" w:rsidRDefault="004104A7" w:rsidP="001B1F81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 w:rsidRPr="009102E0">
              <w:rPr>
                <w:color w:val="000000"/>
              </w:rPr>
              <w:t>Dokumentide arvelevõtmine ja järel</w:t>
            </w:r>
            <w:r w:rsidR="00433E56">
              <w:rPr>
                <w:color w:val="000000"/>
              </w:rPr>
              <w:t>e</w:t>
            </w:r>
            <w:r w:rsidRPr="009102E0">
              <w:rPr>
                <w:color w:val="000000"/>
              </w:rPr>
              <w:t>valve nende põhjal tehtavate muudatuste menetlemise seisu üle</w:t>
            </w:r>
          </w:p>
        </w:tc>
      </w:tr>
    </w:tbl>
    <w:p w:rsidR="008B33CC" w:rsidRPr="00971FD2" w:rsidRDefault="008B33CC"/>
    <w:p w:rsidR="008B33CC" w:rsidRPr="00971FD2" w:rsidRDefault="008B33CC">
      <w:pPr>
        <w:pStyle w:val="Heading3"/>
        <w:jc w:val="center"/>
        <w:rPr>
          <w:sz w:val="28"/>
          <w:lang w:val="et-EE"/>
        </w:rPr>
      </w:pPr>
      <w:r w:rsidRPr="00971FD2">
        <w:rPr>
          <w:sz w:val="28"/>
          <w:lang w:val="et-EE"/>
        </w:rPr>
        <w:t>VASTUTUS</w:t>
      </w:r>
    </w:p>
    <w:p w:rsidR="008B33CC" w:rsidRPr="00971FD2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 w:rsidRPr="00971FD2">
        <w:tc>
          <w:tcPr>
            <w:tcW w:w="8522" w:type="dxa"/>
          </w:tcPr>
          <w:p w:rsidR="007B0216" w:rsidRDefault="008B33CC" w:rsidP="007B0216">
            <w:r w:rsidRPr="00971FD2">
              <w:t>Teenistuja vastutab:</w:t>
            </w:r>
          </w:p>
          <w:p w:rsidR="008B33CC" w:rsidRPr="00971FD2" w:rsidRDefault="008B33CC" w:rsidP="007B0216">
            <w:bookmarkStart w:id="0" w:name="_GoBack"/>
            <w:bookmarkEnd w:id="0"/>
            <w:r w:rsidRPr="00971FD2">
              <w:rPr>
                <w:noProof/>
              </w:rPr>
              <w:t>käesolevast ametijuhendist</w:t>
            </w:r>
            <w:r w:rsidRPr="00971FD2">
              <w:t xml:space="preserve">, </w:t>
            </w:r>
            <w:r w:rsidR="00375E27">
              <w:t xml:space="preserve">tööga seotud </w:t>
            </w:r>
            <w:r w:rsidRPr="00971FD2">
              <w:t>õigusaktidest, sisekorraeeskirjast, PRIA ja osakonna põhimäärusest,</w:t>
            </w:r>
            <w:r w:rsidR="00D42AA8" w:rsidRPr="00971FD2">
              <w:t xml:space="preserve"> PRIA teenindusstandardist</w:t>
            </w:r>
            <w:r w:rsidRPr="00971FD2">
              <w:t xml:space="preserve"> ning avaliku teenistuse seadusest tulenevate tööülesannete õigeaegse ja kvaliteetse täitmise eest</w:t>
            </w:r>
            <w:r w:rsidR="007B0216">
              <w:t>;</w:t>
            </w:r>
            <w:r w:rsidRPr="00971FD2">
              <w:t xml:space="preserve"> 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ametialase informatsiooni kaitsmise ja hoidmise eest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teenistuja kasutusse antud töövahendite säilimise ja hoidmise eest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järelevalvet teostavate organisatsioonide esindajatele oma tööd puudutava adekvaatse informatsiooni andmise eest ning neile oma võimaluste piires abi osutamise eest;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enese kvalifikatsiooni hoidmise ja täiendamise eest</w:t>
            </w:r>
            <w:r w:rsidR="007B0216">
              <w:t>.</w:t>
            </w:r>
          </w:p>
        </w:tc>
      </w:tr>
    </w:tbl>
    <w:p w:rsidR="008B33CC" w:rsidRPr="00971FD2" w:rsidRDefault="008B33CC"/>
    <w:p w:rsidR="008B33CC" w:rsidRPr="00971FD2" w:rsidRDefault="008B33CC">
      <w:pPr>
        <w:pStyle w:val="Heading3"/>
        <w:jc w:val="center"/>
        <w:rPr>
          <w:sz w:val="28"/>
          <w:szCs w:val="28"/>
          <w:lang w:val="et-EE"/>
        </w:rPr>
      </w:pPr>
      <w:r w:rsidRPr="00971FD2">
        <w:rPr>
          <w:sz w:val="28"/>
          <w:szCs w:val="28"/>
          <w:lang w:val="et-EE"/>
        </w:rPr>
        <w:t xml:space="preserve">ÕIGUSED </w:t>
      </w:r>
    </w:p>
    <w:p w:rsidR="008B33CC" w:rsidRPr="00971FD2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 w:rsidRPr="00971FD2">
        <w:tc>
          <w:tcPr>
            <w:tcW w:w="8522" w:type="dxa"/>
          </w:tcPr>
          <w:p w:rsidR="008B33CC" w:rsidRPr="00971FD2" w:rsidRDefault="008B33CC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971FD2">
              <w:rPr>
                <w:lang w:val="et-EE"/>
              </w:rPr>
              <w:t>Teenistujal on õigus: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kasutada oma töös avaliku teenistuse seadusest,</w:t>
            </w:r>
            <w:r w:rsidRPr="00971FD2">
              <w:rPr>
                <w:color w:val="000000"/>
              </w:rPr>
              <w:t xml:space="preserve"> õigusaktidest</w:t>
            </w:r>
            <w:r w:rsidRPr="00971FD2">
              <w:t>, PRIA põhimäärusest ja sisekorraeeskirjast tulenevaid õigusi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saada PRIAst oma tööks vajalikku informatsiooni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teha koostööd teiste osakondade spetsialistidega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teha ettepanekuid oma pädevusse kuuluvas valdkonnas töö paremaks korraldamiseks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suhelda PRIA nimel klientidega ja teiste teenistujatega kõigis oma tööülesandeid puudutavates küsimustes</w:t>
            </w:r>
            <w:r w:rsidR="007B0216">
              <w:t>;</w:t>
            </w:r>
          </w:p>
          <w:p w:rsidR="007B0216" w:rsidRDefault="008B33CC" w:rsidP="007B0216">
            <w:pPr>
              <w:numPr>
                <w:ilvl w:val="0"/>
                <w:numId w:val="1"/>
              </w:numPr>
            </w:pPr>
            <w:r w:rsidRPr="00971FD2">
              <w:t xml:space="preserve">esitada oma vahetule </w:t>
            </w:r>
            <w:r w:rsidR="00E71FBE" w:rsidRPr="00971FD2">
              <w:t>juhile</w:t>
            </w:r>
            <w:r w:rsidRPr="00971FD2">
              <w:t xml:space="preserve"> tööalaseid küsimusi ja ettepanekuid</w:t>
            </w:r>
            <w:r w:rsidR="007B0216">
              <w:t>;</w:t>
            </w:r>
          </w:p>
          <w:p w:rsidR="008B33CC" w:rsidRPr="00971FD2" w:rsidRDefault="008B33CC" w:rsidP="007B0216">
            <w:pPr>
              <w:numPr>
                <w:ilvl w:val="0"/>
                <w:numId w:val="1"/>
              </w:numPr>
            </w:pPr>
            <w:r w:rsidRPr="00971FD2">
              <w:t>vastu võtta otsuseid oma vastutusala piires</w:t>
            </w:r>
            <w:r w:rsidR="007B0216">
              <w:t>;</w:t>
            </w:r>
          </w:p>
          <w:p w:rsidR="008B33CC" w:rsidRPr="00971FD2" w:rsidRDefault="008B33CC">
            <w:pPr>
              <w:numPr>
                <w:ilvl w:val="0"/>
                <w:numId w:val="1"/>
              </w:numPr>
            </w:pPr>
            <w:r w:rsidRPr="00971FD2">
              <w:t>saada tööalase taseme tõstmiseks vajalikku tööalast koolitust eeldusel, et on olemas vajalikud aja- ja eelarve ressursid</w:t>
            </w:r>
            <w:r w:rsidR="007B0216">
              <w:t>.</w:t>
            </w:r>
          </w:p>
        </w:tc>
      </w:tr>
    </w:tbl>
    <w:p w:rsidR="008B33CC" w:rsidRPr="00971FD2" w:rsidRDefault="008B33CC">
      <w:pPr>
        <w:jc w:val="center"/>
        <w:rPr>
          <w:b/>
          <w:sz w:val="28"/>
        </w:rPr>
      </w:pPr>
    </w:p>
    <w:p w:rsidR="008B33CC" w:rsidRPr="00971FD2" w:rsidRDefault="008B33CC">
      <w:pPr>
        <w:pStyle w:val="Heading1"/>
        <w:jc w:val="center"/>
        <w:rPr>
          <w:sz w:val="28"/>
          <w:lang w:val="et-EE"/>
        </w:rPr>
      </w:pPr>
      <w:r w:rsidRPr="00971FD2">
        <w:rPr>
          <w:sz w:val="28"/>
          <w:lang w:val="et-EE"/>
        </w:rPr>
        <w:lastRenderedPageBreak/>
        <w:t>TÖÖ ISELOOM</w:t>
      </w:r>
    </w:p>
    <w:p w:rsidR="008B33CC" w:rsidRPr="00971FD2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 w:rsidRPr="00971FD2">
        <w:tc>
          <w:tcPr>
            <w:tcW w:w="8522" w:type="dxa"/>
          </w:tcPr>
          <w:p w:rsidR="008B33CC" w:rsidRPr="00971FD2" w:rsidRDefault="008B33CC">
            <w:pPr>
              <w:jc w:val="both"/>
            </w:pPr>
            <w:r w:rsidRPr="00971FD2">
              <w:t>Töö on paikse iseloomuga,</w:t>
            </w:r>
            <w:r w:rsidR="00D31C66">
              <w:t xml:space="preserve"> kuid eeldab</w:t>
            </w:r>
            <w:r w:rsidRPr="00971FD2">
              <w:t xml:space="preserve"> aeg-ajalt lähetusi Eesti piires. Tegemist on peamiselt arvutitööga ja suhtlemisega PRIA klientidega.</w:t>
            </w:r>
          </w:p>
          <w:p w:rsidR="008B33CC" w:rsidRPr="00971FD2" w:rsidRDefault="008B33CC">
            <w:pPr>
              <w:jc w:val="both"/>
            </w:pPr>
            <w:r w:rsidRPr="00971FD2">
              <w:rPr>
                <w:color w:val="000000"/>
              </w:rPr>
              <w:t xml:space="preserve">Klientidega suhtlemisel peab põldude registri büroo peaspetsialist olema kompetentne, viisakas, sõbralik, abivalmis ja kannatlik. </w:t>
            </w:r>
            <w:r w:rsidRPr="00971FD2">
              <w:t>Selge eneseväljendusoskus, täpsus, korrektsus ning tähtaegadest kinnipidamine on olulised. Hooajati võib töö intensiivsus ja maht oluliselt suureneda.</w:t>
            </w:r>
          </w:p>
          <w:p w:rsidR="008B33CC" w:rsidRPr="00971FD2" w:rsidRDefault="008B33CC">
            <w:pPr>
              <w:pStyle w:val="BodyText"/>
            </w:pPr>
            <w:r w:rsidRPr="00971FD2">
              <w:t>Teenistuja peab pidevalt tegelema enesetäiendamisega, osavõtt PRIA poolt korraldatud koolitustest on kohustuslik.</w:t>
            </w:r>
          </w:p>
        </w:tc>
      </w:tr>
    </w:tbl>
    <w:p w:rsidR="008B33CC" w:rsidRPr="00971FD2" w:rsidRDefault="008B33CC">
      <w:pPr>
        <w:pStyle w:val="Heading5"/>
        <w:jc w:val="left"/>
        <w:rPr>
          <w:sz w:val="28"/>
          <w:lang w:val="et-EE"/>
        </w:rPr>
      </w:pPr>
    </w:p>
    <w:p w:rsidR="008B33CC" w:rsidRPr="00971FD2" w:rsidRDefault="008B33CC">
      <w:pPr>
        <w:pStyle w:val="Heading5"/>
        <w:rPr>
          <w:sz w:val="28"/>
          <w:lang w:val="et-EE"/>
        </w:rPr>
      </w:pPr>
      <w:r w:rsidRPr="00971FD2">
        <w:rPr>
          <w:sz w:val="28"/>
          <w:lang w:val="et-EE"/>
        </w:rPr>
        <w:t>TÖÖANDJA POOLT TAGATAVAD TÖÖVAHENDID</w:t>
      </w:r>
    </w:p>
    <w:p w:rsidR="008B33CC" w:rsidRPr="00971FD2" w:rsidRDefault="008B33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4157"/>
      </w:tblGrid>
      <w:tr w:rsidR="008B33CC" w:rsidRPr="00971FD2">
        <w:trPr>
          <w:jc w:val="center"/>
        </w:trPr>
        <w:tc>
          <w:tcPr>
            <w:tcW w:w="4261" w:type="dxa"/>
          </w:tcPr>
          <w:p w:rsidR="008B33CC" w:rsidRPr="00971FD2" w:rsidRDefault="008B33CC">
            <w:pPr>
              <w:jc w:val="center"/>
              <w:rPr>
                <w:b/>
                <w:bCs/>
              </w:rPr>
            </w:pPr>
            <w:r w:rsidRPr="00971FD2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:rsidR="008B33CC" w:rsidRPr="00971FD2" w:rsidRDefault="008B33CC">
            <w:pPr>
              <w:jc w:val="center"/>
              <w:rPr>
                <w:b/>
                <w:bCs/>
              </w:rPr>
            </w:pPr>
            <w:r w:rsidRPr="00971FD2">
              <w:rPr>
                <w:b/>
                <w:bCs/>
              </w:rPr>
              <w:t>Tal on kasutada:</w:t>
            </w:r>
          </w:p>
        </w:tc>
      </w:tr>
      <w:tr w:rsidR="008B33CC" w:rsidRPr="00971FD2">
        <w:trPr>
          <w:jc w:val="center"/>
        </w:trPr>
        <w:tc>
          <w:tcPr>
            <w:tcW w:w="4261" w:type="dxa"/>
          </w:tcPr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arvuti</w:t>
            </w:r>
          </w:p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telefon</w:t>
            </w:r>
          </w:p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printer</w:t>
            </w:r>
          </w:p>
          <w:p w:rsidR="008B33CC" w:rsidRPr="00971FD2" w:rsidRDefault="008B33CC" w:rsidP="00C74ED8">
            <w:pPr>
              <w:numPr>
                <w:ilvl w:val="0"/>
                <w:numId w:val="3"/>
              </w:numPr>
            </w:pPr>
            <w:r w:rsidRPr="00971FD2">
              <w:t xml:space="preserve">büroomööbel </w:t>
            </w:r>
          </w:p>
        </w:tc>
        <w:tc>
          <w:tcPr>
            <w:tcW w:w="4261" w:type="dxa"/>
          </w:tcPr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kantseleitarbed</w:t>
            </w:r>
          </w:p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koopiamasin</w:t>
            </w:r>
          </w:p>
          <w:p w:rsidR="008B33CC" w:rsidRPr="00971FD2" w:rsidRDefault="008B33CC">
            <w:pPr>
              <w:numPr>
                <w:ilvl w:val="0"/>
                <w:numId w:val="3"/>
              </w:numPr>
            </w:pPr>
            <w:r w:rsidRPr="00971FD2">
              <w:t>paberipurustaja</w:t>
            </w:r>
          </w:p>
        </w:tc>
      </w:tr>
    </w:tbl>
    <w:p w:rsidR="00C74ED8" w:rsidRPr="00971FD2" w:rsidRDefault="00C74ED8"/>
    <w:p w:rsidR="008B33CC" w:rsidRPr="00971FD2" w:rsidRDefault="008B33CC">
      <w:pPr>
        <w:rPr>
          <w:b/>
          <w:bCs/>
          <w:sz w:val="28"/>
        </w:rPr>
      </w:pPr>
      <w:r w:rsidRPr="00971FD2">
        <w:tab/>
      </w:r>
      <w:r w:rsidRPr="00971FD2">
        <w:tab/>
      </w:r>
      <w:r w:rsidRPr="00971FD2">
        <w:tab/>
      </w:r>
      <w:r w:rsidRPr="00971FD2">
        <w:rPr>
          <w:b/>
          <w:bCs/>
          <w:sz w:val="28"/>
        </w:rPr>
        <w:t>KVALIFIKATSIOONINÕUDED</w:t>
      </w:r>
    </w:p>
    <w:p w:rsidR="00C74ED8" w:rsidRPr="00971FD2" w:rsidRDefault="00C74ED8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2791"/>
        <w:gridCol w:w="2800"/>
      </w:tblGrid>
      <w:tr w:rsidR="008B33CC" w:rsidRPr="00971FD2">
        <w:tc>
          <w:tcPr>
            <w:tcW w:w="2840" w:type="dxa"/>
          </w:tcPr>
          <w:p w:rsidR="008B33CC" w:rsidRPr="00971FD2" w:rsidRDefault="008B33CC">
            <w:pPr>
              <w:jc w:val="center"/>
              <w:rPr>
                <w:b/>
                <w:bCs/>
              </w:rPr>
            </w:pPr>
          </w:p>
        </w:tc>
        <w:tc>
          <w:tcPr>
            <w:tcW w:w="2841" w:type="dxa"/>
          </w:tcPr>
          <w:p w:rsidR="008B33CC" w:rsidRPr="00971FD2" w:rsidRDefault="008B33CC">
            <w:pPr>
              <w:pStyle w:val="Heading5"/>
              <w:rPr>
                <w:lang w:val="et-EE"/>
              </w:rPr>
            </w:pPr>
            <w:r w:rsidRPr="00971FD2">
              <w:rPr>
                <w:lang w:val="et-EE"/>
              </w:rPr>
              <w:t>Kohustuslikud</w:t>
            </w:r>
          </w:p>
        </w:tc>
        <w:tc>
          <w:tcPr>
            <w:tcW w:w="2841" w:type="dxa"/>
          </w:tcPr>
          <w:p w:rsidR="008B33CC" w:rsidRPr="00971FD2" w:rsidRDefault="008B33CC">
            <w:pPr>
              <w:jc w:val="center"/>
              <w:rPr>
                <w:b/>
                <w:bCs/>
              </w:rPr>
            </w:pPr>
            <w:r w:rsidRPr="00971FD2">
              <w:rPr>
                <w:b/>
                <w:bCs/>
              </w:rPr>
              <w:t>Soovitavad</w:t>
            </w:r>
          </w:p>
        </w:tc>
      </w:tr>
      <w:tr w:rsidR="008B33CC" w:rsidRPr="00971FD2">
        <w:tc>
          <w:tcPr>
            <w:tcW w:w="2840" w:type="dxa"/>
          </w:tcPr>
          <w:p w:rsidR="008B33CC" w:rsidRPr="00971FD2" w:rsidRDefault="008B33CC">
            <w:pPr>
              <w:pStyle w:val="Heading1"/>
              <w:rPr>
                <w:bCs/>
                <w:lang w:val="et-EE"/>
              </w:rPr>
            </w:pPr>
            <w:r w:rsidRPr="00971FD2">
              <w:rPr>
                <w:bCs/>
                <w:lang w:val="et-EE"/>
              </w:rPr>
              <w:t>Haridus, eriala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7"/>
              </w:numPr>
            </w:pPr>
            <w:r w:rsidRPr="00971FD2">
              <w:t>Kõrgharidus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7"/>
              </w:numPr>
            </w:pPr>
            <w:r w:rsidRPr="00971FD2">
              <w:t>Põllumajanduslik, infotehnoloogiline või ruumiandmete töötlemisega seotud eriala</w:t>
            </w:r>
          </w:p>
        </w:tc>
      </w:tr>
      <w:tr w:rsidR="008B33CC" w:rsidRPr="00971FD2">
        <w:tc>
          <w:tcPr>
            <w:tcW w:w="2840" w:type="dxa"/>
          </w:tcPr>
          <w:p w:rsidR="008B33CC" w:rsidRPr="00971FD2" w:rsidRDefault="008B33CC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:rsidR="008B33CC" w:rsidRPr="00971FD2" w:rsidRDefault="008B33C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971FD2">
              <w:rPr>
                <w:lang w:val="et-EE"/>
              </w:rPr>
              <w:t>Eesti keele väga hea oskus kõnes ja kirjas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5"/>
              </w:numPr>
            </w:pPr>
            <w:r w:rsidRPr="00971FD2">
              <w:t>Inglise ja vene keele valdamine suhtlustasemel</w:t>
            </w:r>
          </w:p>
          <w:p w:rsidR="008B33CC" w:rsidRPr="00971FD2" w:rsidRDefault="008B33CC">
            <w:pPr>
              <w:numPr>
                <w:ilvl w:val="0"/>
                <w:numId w:val="12"/>
              </w:numPr>
            </w:pPr>
            <w:r w:rsidRPr="00971FD2">
              <w:t>Avalikus sektoris töötamise kogemus</w:t>
            </w:r>
          </w:p>
          <w:p w:rsidR="008B33CC" w:rsidRPr="00971FD2" w:rsidRDefault="008B33CC">
            <w:pPr>
              <w:numPr>
                <w:ilvl w:val="0"/>
                <w:numId w:val="5"/>
              </w:numPr>
            </w:pPr>
            <w:r w:rsidRPr="00971FD2">
              <w:t>Varasem kokkupuude kartograafia ja geoinformaatikaga</w:t>
            </w:r>
          </w:p>
          <w:p w:rsidR="008B33CC" w:rsidRPr="00971FD2" w:rsidRDefault="008B33CC"/>
        </w:tc>
      </w:tr>
      <w:tr w:rsidR="008B33CC" w:rsidRPr="00971FD2">
        <w:tc>
          <w:tcPr>
            <w:tcW w:w="2840" w:type="dxa"/>
          </w:tcPr>
          <w:p w:rsidR="008B33CC" w:rsidRPr="00971FD2" w:rsidRDefault="008B33CC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5"/>
              </w:numPr>
            </w:pPr>
            <w:r w:rsidRPr="00971FD2">
              <w:t>Arvutioskus (väga hea)</w:t>
            </w:r>
          </w:p>
          <w:p w:rsidR="008B33CC" w:rsidRPr="00971FD2" w:rsidRDefault="008B33CC">
            <w:pPr>
              <w:numPr>
                <w:ilvl w:val="0"/>
                <w:numId w:val="5"/>
              </w:numPr>
            </w:pPr>
            <w:r w:rsidRPr="00971FD2">
              <w:t>Hea suhtlemisoskus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5"/>
              </w:numPr>
            </w:pPr>
            <w:r w:rsidRPr="00971FD2">
              <w:t>GIS tarkvara tundmine</w:t>
            </w:r>
          </w:p>
          <w:p w:rsidR="008B33CC" w:rsidRPr="00971FD2" w:rsidRDefault="008B33CC" w:rsidP="00453E03">
            <w:pPr>
              <w:numPr>
                <w:ilvl w:val="0"/>
                <w:numId w:val="5"/>
              </w:numPr>
            </w:pPr>
            <w:r w:rsidRPr="00971FD2">
              <w:t>Meeskonnatöö oskus</w:t>
            </w:r>
          </w:p>
          <w:p w:rsidR="00453E03" w:rsidRPr="00971FD2" w:rsidRDefault="00453E03" w:rsidP="00453E03">
            <w:pPr>
              <w:ind w:left="360"/>
            </w:pPr>
          </w:p>
        </w:tc>
      </w:tr>
      <w:tr w:rsidR="008B33CC" w:rsidRPr="00971FD2">
        <w:tc>
          <w:tcPr>
            <w:tcW w:w="2840" w:type="dxa"/>
          </w:tcPr>
          <w:p w:rsidR="008B33CC" w:rsidRPr="00971FD2" w:rsidRDefault="008B33CC">
            <w:pPr>
              <w:rPr>
                <w:b/>
                <w:bCs/>
              </w:rPr>
            </w:pPr>
            <w:r w:rsidRPr="00971FD2"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:rsidR="008B33CC" w:rsidRPr="00971FD2" w:rsidRDefault="008B33CC" w:rsidP="008B601F">
            <w:pPr>
              <w:numPr>
                <w:ilvl w:val="0"/>
                <w:numId w:val="6"/>
              </w:numPr>
            </w:pPr>
            <w:r w:rsidRPr="00971FD2">
              <w:t>Korrektsus</w:t>
            </w:r>
          </w:p>
          <w:p w:rsidR="008B33CC" w:rsidRDefault="008B33CC" w:rsidP="008B601F">
            <w:pPr>
              <w:numPr>
                <w:ilvl w:val="0"/>
                <w:numId w:val="6"/>
              </w:numPr>
            </w:pPr>
            <w:r w:rsidRPr="00971FD2">
              <w:t>Täpsus</w:t>
            </w:r>
          </w:p>
          <w:p w:rsidR="00046324" w:rsidRDefault="00046324" w:rsidP="00046324">
            <w:pPr>
              <w:numPr>
                <w:ilvl w:val="0"/>
                <w:numId w:val="6"/>
              </w:numPr>
            </w:pPr>
            <w:r w:rsidRPr="00971FD2">
              <w:t xml:space="preserve">Iseseisvus </w:t>
            </w:r>
          </w:p>
          <w:p w:rsidR="008B33CC" w:rsidRPr="00971FD2" w:rsidRDefault="008B33CC" w:rsidP="00046324">
            <w:pPr>
              <w:numPr>
                <w:ilvl w:val="0"/>
                <w:numId w:val="6"/>
              </w:numPr>
            </w:pPr>
            <w:r w:rsidRPr="00971FD2">
              <w:t>Meeskonnatöö valmidus</w:t>
            </w:r>
          </w:p>
          <w:p w:rsidR="008B33CC" w:rsidRDefault="008B33CC" w:rsidP="008B601F">
            <w:pPr>
              <w:numPr>
                <w:ilvl w:val="0"/>
                <w:numId w:val="6"/>
              </w:numPr>
            </w:pPr>
            <w:r w:rsidRPr="00971FD2">
              <w:t>Hea stressitaluvus</w:t>
            </w:r>
          </w:p>
          <w:p w:rsidR="008B601F" w:rsidRPr="00971FD2" w:rsidRDefault="008B601F" w:rsidP="008B601F">
            <w:pPr>
              <w:numPr>
                <w:ilvl w:val="0"/>
                <w:numId w:val="6"/>
              </w:numPr>
            </w:pPr>
            <w:r w:rsidRPr="00971FD2">
              <w:t>Õppimisvalmidus</w:t>
            </w:r>
          </w:p>
        </w:tc>
        <w:tc>
          <w:tcPr>
            <w:tcW w:w="2841" w:type="dxa"/>
          </w:tcPr>
          <w:p w:rsidR="008B33CC" w:rsidRPr="00971FD2" w:rsidRDefault="008B33CC">
            <w:pPr>
              <w:numPr>
                <w:ilvl w:val="0"/>
                <w:numId w:val="6"/>
              </w:numPr>
            </w:pPr>
            <w:r w:rsidRPr="00971FD2">
              <w:t>Kiirus</w:t>
            </w:r>
          </w:p>
        </w:tc>
      </w:tr>
    </w:tbl>
    <w:p w:rsidR="00B145BE" w:rsidRDefault="00B145BE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:rsidR="00B145BE" w:rsidRDefault="00B145BE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:rsidR="008B33CC" w:rsidRPr="00971FD2" w:rsidRDefault="008B33CC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D96ED4">
        <w:rPr>
          <w:b/>
          <w:szCs w:val="24"/>
          <w:lang w:val="et-EE"/>
        </w:rPr>
        <w:t>TÖÖANDJA ESINDAJA</w:t>
      </w:r>
      <w:r w:rsidRPr="00971FD2">
        <w:rPr>
          <w:szCs w:val="24"/>
          <w:lang w:val="et-EE"/>
        </w:rPr>
        <w:t xml:space="preserve"> </w:t>
      </w:r>
      <w:r w:rsidRPr="00971FD2">
        <w:rPr>
          <w:szCs w:val="24"/>
          <w:lang w:val="et-EE"/>
        </w:rPr>
        <w:tab/>
      </w:r>
      <w:r w:rsidRPr="00971FD2">
        <w:rPr>
          <w:szCs w:val="24"/>
          <w:lang w:val="et-EE"/>
        </w:rPr>
        <w:tab/>
      </w:r>
      <w:r w:rsidRPr="00971FD2">
        <w:rPr>
          <w:szCs w:val="24"/>
          <w:lang w:val="et-EE"/>
        </w:rPr>
        <w:tab/>
        <w:t>Nimi</w:t>
      </w:r>
      <w:r w:rsidR="00D96ED4">
        <w:rPr>
          <w:szCs w:val="24"/>
          <w:lang w:val="et-EE"/>
        </w:rPr>
        <w:t xml:space="preserve">: </w:t>
      </w:r>
      <w:r w:rsidR="00D96ED4">
        <w:t>Jaan Kallas</w:t>
      </w:r>
    </w:p>
    <w:p w:rsidR="008B33CC" w:rsidRPr="00971FD2" w:rsidRDefault="008B33CC"/>
    <w:p w:rsidR="008B33CC" w:rsidRPr="00971FD2" w:rsidRDefault="008B33CC">
      <w:r w:rsidRPr="00971FD2">
        <w:t xml:space="preserve">Kuupäev </w:t>
      </w:r>
      <w:r w:rsidRPr="00971FD2">
        <w:tab/>
      </w:r>
      <w:r w:rsidRPr="00971FD2">
        <w:tab/>
      </w:r>
      <w:r w:rsidRPr="00971FD2">
        <w:tab/>
      </w:r>
      <w:r w:rsidRPr="00971FD2">
        <w:tab/>
      </w:r>
      <w:r w:rsidRPr="00971FD2">
        <w:tab/>
        <w:t>Allkiri</w:t>
      </w:r>
      <w:r w:rsidR="005D4DF2">
        <w:t xml:space="preserve"> (allkirjastatud digitaalselt)</w:t>
      </w:r>
    </w:p>
    <w:p w:rsidR="008B33CC" w:rsidRPr="00971FD2" w:rsidRDefault="008B33CC"/>
    <w:p w:rsidR="008B33CC" w:rsidRPr="00971FD2" w:rsidRDefault="008B33CC"/>
    <w:p w:rsidR="008B33CC" w:rsidRPr="00971FD2" w:rsidRDefault="008B33CC">
      <w:r w:rsidRPr="00D96ED4">
        <w:rPr>
          <w:b/>
        </w:rPr>
        <w:t>VAHETU JUHT</w:t>
      </w:r>
      <w:r w:rsidRPr="00971FD2">
        <w:tab/>
      </w:r>
      <w:r w:rsidRPr="00971FD2">
        <w:tab/>
      </w:r>
      <w:r w:rsidRPr="00971FD2">
        <w:tab/>
      </w:r>
      <w:r w:rsidRPr="00971FD2">
        <w:tab/>
        <w:t>Nimi</w:t>
      </w:r>
      <w:r w:rsidR="00D96ED4">
        <w:t>:</w:t>
      </w:r>
      <w:r w:rsidRPr="00971FD2">
        <w:t xml:space="preserve"> </w:t>
      </w:r>
      <w:r w:rsidR="00D96ED4" w:rsidRPr="00D96ED4">
        <w:t>Kadri Pärnpuu</w:t>
      </w:r>
    </w:p>
    <w:p w:rsidR="008B33CC" w:rsidRPr="00971FD2" w:rsidRDefault="008B33CC"/>
    <w:p w:rsidR="008B33CC" w:rsidRPr="00971FD2" w:rsidRDefault="008B33CC">
      <w:r w:rsidRPr="00971FD2">
        <w:t>Kuupäev</w:t>
      </w:r>
      <w:r w:rsidRPr="00971FD2">
        <w:tab/>
      </w:r>
      <w:r w:rsidRPr="00971FD2">
        <w:tab/>
      </w:r>
      <w:r w:rsidRPr="00971FD2">
        <w:tab/>
      </w:r>
      <w:r w:rsidRPr="00971FD2">
        <w:tab/>
      </w:r>
      <w:r w:rsidRPr="00971FD2">
        <w:tab/>
        <w:t>Allkiri</w:t>
      </w:r>
      <w:r w:rsidR="005D4DF2">
        <w:t xml:space="preserve"> (allkirjastatud digitaalselt)</w:t>
      </w:r>
    </w:p>
    <w:p w:rsidR="008B33CC" w:rsidRPr="00971FD2" w:rsidRDefault="008B33CC"/>
    <w:p w:rsidR="008B33CC" w:rsidRPr="00971FD2" w:rsidRDefault="008B33CC"/>
    <w:p w:rsidR="008B33CC" w:rsidRPr="00971FD2" w:rsidRDefault="008B33CC">
      <w:pPr>
        <w:jc w:val="both"/>
      </w:pPr>
      <w:r w:rsidRPr="00971FD2">
        <w:t>Kinnitan, et olen tutvunud ametijuhendiga ja kohustun järgima sellega ettenähtud tingimusi ja nõudeid.</w:t>
      </w:r>
    </w:p>
    <w:p w:rsidR="008B33CC" w:rsidRPr="00971FD2" w:rsidRDefault="008B33CC"/>
    <w:p w:rsidR="008B33CC" w:rsidRPr="00971FD2" w:rsidRDefault="008B33CC">
      <w:r w:rsidRPr="00D96ED4">
        <w:rPr>
          <w:b/>
        </w:rPr>
        <w:t>TEENISTUJA</w:t>
      </w:r>
      <w:r w:rsidRPr="00D96ED4">
        <w:rPr>
          <w:b/>
        </w:rPr>
        <w:tab/>
      </w:r>
      <w:r w:rsidR="00D96ED4">
        <w:tab/>
      </w:r>
      <w:r w:rsidR="00D96ED4">
        <w:tab/>
      </w:r>
      <w:r w:rsidR="00D96ED4">
        <w:tab/>
      </w:r>
      <w:r w:rsidRPr="00971FD2">
        <w:t>Nimi</w:t>
      </w:r>
      <w:r w:rsidR="00D96ED4">
        <w:t xml:space="preserve">: </w:t>
      </w:r>
      <w:r w:rsidR="00A56028">
        <w:t>Robert Juuse</w:t>
      </w:r>
    </w:p>
    <w:p w:rsidR="008B33CC" w:rsidRPr="00971FD2" w:rsidRDefault="008B33CC"/>
    <w:p w:rsidR="008B33CC" w:rsidRPr="00971FD2" w:rsidRDefault="008B33CC">
      <w:r w:rsidRPr="00971FD2">
        <w:t xml:space="preserve">Kuupäev </w:t>
      </w:r>
      <w:r w:rsidRPr="00971FD2">
        <w:tab/>
      </w:r>
      <w:r w:rsidRPr="00971FD2">
        <w:tab/>
      </w:r>
      <w:r w:rsidRPr="00971FD2">
        <w:tab/>
      </w:r>
      <w:r w:rsidRPr="00971FD2">
        <w:tab/>
      </w:r>
      <w:r w:rsidRPr="00971FD2">
        <w:tab/>
        <w:t>Allkiri</w:t>
      </w:r>
      <w:r w:rsidR="005D4DF2">
        <w:t xml:space="preserve"> (allkirjastatud digitaalselt)</w:t>
      </w:r>
    </w:p>
    <w:sectPr w:rsidR="008B33CC" w:rsidRPr="00971FD2" w:rsidSect="00285D58">
      <w:headerReference w:type="default" r:id="rId8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C5" w:rsidRDefault="003537C5">
      <w:r>
        <w:separator/>
      </w:r>
    </w:p>
  </w:endnote>
  <w:endnote w:type="continuationSeparator" w:id="0">
    <w:p w:rsidR="003537C5" w:rsidRDefault="003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C5" w:rsidRDefault="003537C5">
      <w:r>
        <w:separator/>
      </w:r>
    </w:p>
  </w:footnote>
  <w:footnote w:type="continuationSeparator" w:id="0">
    <w:p w:rsidR="003537C5" w:rsidRDefault="0035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4B" w:rsidRDefault="0029734B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:rsidR="0029734B" w:rsidRDefault="0029734B">
    <w:pPr>
      <w:pStyle w:val="Header"/>
      <w:rPr>
        <w:lang w:val="et-EE"/>
      </w:rPr>
    </w:pPr>
    <w:r>
      <w:rPr>
        <w:lang w:val="et-EE"/>
      </w:rPr>
      <w:t>Ametijuhend</w:t>
    </w:r>
  </w:p>
  <w:p w:rsidR="0029734B" w:rsidRDefault="00A56028">
    <w:pPr>
      <w:pStyle w:val="Header"/>
      <w:rPr>
        <w:lang w:val="et-EE"/>
      </w:rPr>
    </w:pPr>
    <w:r>
      <w:rPr>
        <w:lang w:val="et-EE"/>
      </w:rPr>
      <w:t>Robert Juuse</w:t>
    </w:r>
  </w:p>
  <w:p w:rsidR="0029734B" w:rsidRDefault="0029734B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543B2"/>
    <w:multiLevelType w:val="hybridMultilevel"/>
    <w:tmpl w:val="8E06E75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C"/>
    <w:rsid w:val="00003FBC"/>
    <w:rsid w:val="00033284"/>
    <w:rsid w:val="00046324"/>
    <w:rsid w:val="00056E34"/>
    <w:rsid w:val="0006409A"/>
    <w:rsid w:val="000A49C8"/>
    <w:rsid w:val="000A7E19"/>
    <w:rsid w:val="000B03DD"/>
    <w:rsid w:val="000E4369"/>
    <w:rsid w:val="000E7EFA"/>
    <w:rsid w:val="00127B1D"/>
    <w:rsid w:val="001662FF"/>
    <w:rsid w:val="0016689C"/>
    <w:rsid w:val="00166E07"/>
    <w:rsid w:val="001767F8"/>
    <w:rsid w:val="001B1F81"/>
    <w:rsid w:val="001C55FD"/>
    <w:rsid w:val="001D18A4"/>
    <w:rsid w:val="002674BA"/>
    <w:rsid w:val="00285D58"/>
    <w:rsid w:val="00294F77"/>
    <w:rsid w:val="0029734B"/>
    <w:rsid w:val="002A7A5B"/>
    <w:rsid w:val="002E3751"/>
    <w:rsid w:val="00304612"/>
    <w:rsid w:val="00344067"/>
    <w:rsid w:val="003537C5"/>
    <w:rsid w:val="00364FAB"/>
    <w:rsid w:val="00365A3A"/>
    <w:rsid w:val="00375E27"/>
    <w:rsid w:val="00395E04"/>
    <w:rsid w:val="003B6299"/>
    <w:rsid w:val="003E26BF"/>
    <w:rsid w:val="003F00D4"/>
    <w:rsid w:val="004058CA"/>
    <w:rsid w:val="004104A7"/>
    <w:rsid w:val="004117C5"/>
    <w:rsid w:val="004326CE"/>
    <w:rsid w:val="00433E56"/>
    <w:rsid w:val="00453E03"/>
    <w:rsid w:val="004A6184"/>
    <w:rsid w:val="004E448C"/>
    <w:rsid w:val="005323A0"/>
    <w:rsid w:val="00565F41"/>
    <w:rsid w:val="0057205F"/>
    <w:rsid w:val="0059265F"/>
    <w:rsid w:val="005A3B7A"/>
    <w:rsid w:val="005C6AA5"/>
    <w:rsid w:val="005D4DF2"/>
    <w:rsid w:val="006263E4"/>
    <w:rsid w:val="006610C9"/>
    <w:rsid w:val="006619B9"/>
    <w:rsid w:val="0066761B"/>
    <w:rsid w:val="0069195B"/>
    <w:rsid w:val="0069207F"/>
    <w:rsid w:val="006B31D8"/>
    <w:rsid w:val="006C44B5"/>
    <w:rsid w:val="006D3617"/>
    <w:rsid w:val="006E171F"/>
    <w:rsid w:val="006F2847"/>
    <w:rsid w:val="007B0216"/>
    <w:rsid w:val="007B63E9"/>
    <w:rsid w:val="007E6662"/>
    <w:rsid w:val="007E7D8E"/>
    <w:rsid w:val="007F77F8"/>
    <w:rsid w:val="0083665A"/>
    <w:rsid w:val="008708D4"/>
    <w:rsid w:val="008B33CC"/>
    <w:rsid w:val="008B5E8B"/>
    <w:rsid w:val="008B601F"/>
    <w:rsid w:val="008E1AD8"/>
    <w:rsid w:val="008E4CE1"/>
    <w:rsid w:val="009102E0"/>
    <w:rsid w:val="009324A6"/>
    <w:rsid w:val="00935E28"/>
    <w:rsid w:val="00941D53"/>
    <w:rsid w:val="0097030B"/>
    <w:rsid w:val="00971FD2"/>
    <w:rsid w:val="00995E66"/>
    <w:rsid w:val="009E0735"/>
    <w:rsid w:val="00A10CC9"/>
    <w:rsid w:val="00A335B9"/>
    <w:rsid w:val="00A56028"/>
    <w:rsid w:val="00B102A5"/>
    <w:rsid w:val="00B11A27"/>
    <w:rsid w:val="00B145BE"/>
    <w:rsid w:val="00B85E6C"/>
    <w:rsid w:val="00BB13AB"/>
    <w:rsid w:val="00BD586C"/>
    <w:rsid w:val="00BE724F"/>
    <w:rsid w:val="00BF1FD2"/>
    <w:rsid w:val="00BF48EB"/>
    <w:rsid w:val="00C164EC"/>
    <w:rsid w:val="00C5462C"/>
    <w:rsid w:val="00C62179"/>
    <w:rsid w:val="00C74ED8"/>
    <w:rsid w:val="00C87B3D"/>
    <w:rsid w:val="00CC4624"/>
    <w:rsid w:val="00D31C66"/>
    <w:rsid w:val="00D31FB4"/>
    <w:rsid w:val="00D42AA8"/>
    <w:rsid w:val="00D53197"/>
    <w:rsid w:val="00D73615"/>
    <w:rsid w:val="00D80B46"/>
    <w:rsid w:val="00D80D98"/>
    <w:rsid w:val="00D958D3"/>
    <w:rsid w:val="00D96ED4"/>
    <w:rsid w:val="00DD1A76"/>
    <w:rsid w:val="00DD399C"/>
    <w:rsid w:val="00DE3185"/>
    <w:rsid w:val="00E06A0B"/>
    <w:rsid w:val="00E7152C"/>
    <w:rsid w:val="00E71FBE"/>
    <w:rsid w:val="00E915BB"/>
    <w:rsid w:val="00EA34F2"/>
    <w:rsid w:val="00EB1B68"/>
    <w:rsid w:val="00ED00B4"/>
    <w:rsid w:val="00ED3832"/>
    <w:rsid w:val="00ED59C9"/>
    <w:rsid w:val="00EF7B78"/>
    <w:rsid w:val="00F339F4"/>
    <w:rsid w:val="00F51767"/>
    <w:rsid w:val="00F56BB9"/>
    <w:rsid w:val="00F60B6D"/>
    <w:rsid w:val="00F65829"/>
    <w:rsid w:val="00FA0299"/>
    <w:rsid w:val="00FE01AF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D75DFC"/>
  <w15:chartTrackingRefBased/>
  <w15:docId w15:val="{563B84E1-FA79-4A96-AC04-5F758F6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5D58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285D58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285D58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285D58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285D58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5D58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rsid w:val="00285D58"/>
    <w:pPr>
      <w:jc w:val="both"/>
    </w:pPr>
    <w:rPr>
      <w:szCs w:val="20"/>
    </w:rPr>
  </w:style>
  <w:style w:type="paragraph" w:styleId="Footer">
    <w:name w:val="footer"/>
    <w:basedOn w:val="Normal"/>
    <w:rsid w:val="00285D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5D58"/>
  </w:style>
  <w:style w:type="paragraph" w:styleId="BalloonText">
    <w:name w:val="Balloon Text"/>
    <w:basedOn w:val="Normal"/>
    <w:semiHidden/>
    <w:rsid w:val="00285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91D-0F00-4943-A226-A490A63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792</Words>
  <Characters>6668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Põllumajanduse Registrite ja Informatsiooni Amet</vt:lpstr>
    </vt:vector>
  </TitlesOfParts>
  <Company>PRIA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Põllumajanduse Registrite ja Informatsiooni Amet</dc:title>
  <dc:subject/>
  <dc:creator>kadip</dc:creator>
  <cp:keywords/>
  <cp:lastModifiedBy>Tiiu Klement</cp:lastModifiedBy>
  <cp:revision>3</cp:revision>
  <cp:lastPrinted>2008-06-06T09:10:00Z</cp:lastPrinted>
  <dcterms:created xsi:type="dcterms:W3CDTF">2022-11-22T09:28:00Z</dcterms:created>
  <dcterms:modified xsi:type="dcterms:W3CDTF">2022-11-22T09:33:00Z</dcterms:modified>
</cp:coreProperties>
</file>