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040DB639" w:rsidR="008578DC" w:rsidRPr="00E318AC" w:rsidRDefault="00681FCF" w:rsidP="008B10C9">
            <w:pPr>
              <w:rPr>
                <w:b/>
              </w:rPr>
            </w:pPr>
            <w:r>
              <w:rPr>
                <w:b/>
              </w:rPr>
              <w:t>Katrin Pärn-Reiser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786B7E7C" w:rsidR="00381F7B" w:rsidRPr="00381F7B" w:rsidRDefault="0095453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320CFE24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1D49AD0F" w:rsidR="008578DC" w:rsidRPr="00851138" w:rsidRDefault="002C33EC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0DDB71B3" w:rsidR="009B58EB" w:rsidRDefault="009B58EB" w:rsidP="00221D36">
      <w:pPr>
        <w:pStyle w:val="BodyText"/>
        <w:spacing w:before="240"/>
      </w:pPr>
      <w:r>
        <w:t xml:space="preserve">Peaspetsialisti töö eesmärgiks on MAK, EMKF, </w:t>
      </w:r>
      <w:r w:rsidR="00CB58BF">
        <w:t xml:space="preserve">EMKVF, </w:t>
      </w:r>
      <w:r>
        <w:t>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218BAD33" w:rsidR="00221D36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7F913D46" w:rsidR="00D572E1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52ACC4DC" w:rsidR="00757EDF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77D1DCC0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7BF23E35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505B3704" w:rsidR="00864AAD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5F08571A" w:rsidR="00835E5D" w:rsidRPr="008B10C9" w:rsidRDefault="002C33EC" w:rsidP="00681FC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  <w:r w:rsidR="00681FCF">
              <w:t xml:space="preserve"> </w:t>
            </w:r>
            <w:r w:rsidR="00835E5D" w:rsidRPr="00681FCF">
              <w:rPr>
                <w:szCs w:val="24"/>
              </w:rPr>
              <w:t>Kokkulepitud tähtaegadest on kinni peetud.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6B42B307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74934EFF" w:rsidR="00D27AA5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50A60316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03D9E2DF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5A894DC3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835E5D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10A26A83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506A1664" w:rsidR="008578DC" w:rsidRPr="008B10C9" w:rsidRDefault="002C33EC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6A014DE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8A4C18" w:rsidRPr="007D7E4C">
              <w:t>toetuste administreerimise protseduuridest</w:t>
            </w:r>
            <w:r w:rsidR="008A4C18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6B51FD28" w14:textId="77777777" w:rsidR="00502475" w:rsidRPr="0016277C" w:rsidRDefault="00D35EB4" w:rsidP="00502475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502475" w:rsidRPr="0016277C">
              <w:t xml:space="preserve">Oluline osa on paberi- ja arvutitööl sh aruandluse koostamine, kirjavahetus jm.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40B7B697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2C33EC">
              <w:t>;</w:t>
            </w:r>
          </w:p>
          <w:p w14:paraId="48469706" w14:textId="62E4831D" w:rsidR="00577F66" w:rsidRPr="008B10C9" w:rsidRDefault="002C33EC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58CB0CC1" w:rsidR="00430E3B" w:rsidRPr="008B10C9" w:rsidRDefault="002C33EC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48A4B559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7570942B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1DA917C3" w:rsidR="00430E3B" w:rsidRPr="008B10C9" w:rsidRDefault="002C33EC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6643390B" w:rsidR="008578DC" w:rsidRPr="008B10C9" w:rsidRDefault="002C33EC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293E3510" w:rsidR="007E73CD" w:rsidRPr="00730C71" w:rsidRDefault="00681FCF" w:rsidP="00221D36">
      <w:pPr>
        <w:jc w:val="both"/>
        <w:rPr>
          <w:b/>
        </w:rPr>
      </w:pPr>
      <w:r>
        <w:rPr>
          <w:b/>
        </w:rPr>
        <w:t>Ametijuhend kehtib alates 12.07.2022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2D03322A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DC54AF">
        <w:t>Katrin Pärn-Reiser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94FA" w14:textId="77777777" w:rsidR="00140B0A" w:rsidRDefault="00140B0A">
      <w:r>
        <w:separator/>
      </w:r>
    </w:p>
  </w:endnote>
  <w:endnote w:type="continuationSeparator" w:id="0">
    <w:p w14:paraId="39F70067" w14:textId="77777777" w:rsidR="00140B0A" w:rsidRDefault="0014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38C8D" w14:textId="77777777" w:rsidR="00140B0A" w:rsidRDefault="00140B0A">
      <w:r>
        <w:separator/>
      </w:r>
    </w:p>
  </w:footnote>
  <w:footnote w:type="continuationSeparator" w:id="0">
    <w:p w14:paraId="3AA178D2" w14:textId="77777777" w:rsidR="00140B0A" w:rsidRDefault="0014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6F618CF3" w:rsidR="00691D5C" w:rsidRPr="008B10C9" w:rsidRDefault="00681FCF">
    <w:pPr>
      <w:pStyle w:val="Header"/>
    </w:pPr>
    <w:r>
      <w:t>Katrin Pärn-Reiser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40B0A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44454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33EC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2403"/>
    <w:rsid w:val="004B73CC"/>
    <w:rsid w:val="004D6716"/>
    <w:rsid w:val="004D6AEA"/>
    <w:rsid w:val="00502475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1FCF"/>
    <w:rsid w:val="00684C48"/>
    <w:rsid w:val="00690D7F"/>
    <w:rsid w:val="00691D5C"/>
    <w:rsid w:val="00694D5A"/>
    <w:rsid w:val="006972AE"/>
    <w:rsid w:val="006A5D59"/>
    <w:rsid w:val="006B0454"/>
    <w:rsid w:val="006B1D70"/>
    <w:rsid w:val="006E2E7E"/>
    <w:rsid w:val="006F1AF3"/>
    <w:rsid w:val="00721455"/>
    <w:rsid w:val="00730C71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5E5D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4C18"/>
    <w:rsid w:val="008A5FEB"/>
    <w:rsid w:val="008B10C9"/>
    <w:rsid w:val="008B58FC"/>
    <w:rsid w:val="008C696B"/>
    <w:rsid w:val="009069B5"/>
    <w:rsid w:val="00910075"/>
    <w:rsid w:val="009327B0"/>
    <w:rsid w:val="00954538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C5A18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835C2"/>
    <w:rsid w:val="00C93D70"/>
    <w:rsid w:val="00C964EF"/>
    <w:rsid w:val="00CB58B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31F3"/>
    <w:rsid w:val="00DA4340"/>
    <w:rsid w:val="00DB4A53"/>
    <w:rsid w:val="00DC1B81"/>
    <w:rsid w:val="00DC4BE1"/>
    <w:rsid w:val="00DC54AF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8BC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8C2D-EBF9-4195-9271-4CC0237E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Pärn-Reiser</vt:lpstr>
    </vt:vector>
  </TitlesOfParts>
  <Company>PRIA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Pärn-Reiser</dc:title>
  <dc:creator>Anneli Saaroja</dc:creator>
  <cp:lastModifiedBy>Tiiu Klement</cp:lastModifiedBy>
  <cp:revision>2</cp:revision>
  <cp:lastPrinted>2008-01-16T08:27:00Z</cp:lastPrinted>
  <dcterms:created xsi:type="dcterms:W3CDTF">2022-10-06T07:49:00Z</dcterms:created>
  <dcterms:modified xsi:type="dcterms:W3CDTF">2022-10-06T07:49:00Z</dcterms:modified>
</cp:coreProperties>
</file>