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09D0" w14:textId="77777777" w:rsidR="002A77DE" w:rsidRPr="00C37B9F" w:rsidRDefault="002A77DE" w:rsidP="00C37B9F">
      <w:pPr>
        <w:spacing w:line="276" w:lineRule="auto"/>
        <w:jc w:val="both"/>
        <w:rPr>
          <w:rFonts w:ascii="Times New Roman" w:hAnsi="Times New Roman" w:cs="Times New Roman"/>
          <w:b/>
          <w:sz w:val="24"/>
          <w:szCs w:val="24"/>
        </w:rPr>
      </w:pPr>
      <w:r w:rsidRPr="00C37B9F">
        <w:rPr>
          <w:rFonts w:ascii="Times New Roman" w:hAnsi="Times New Roman" w:cs="Times New Roman"/>
          <w:b/>
          <w:sz w:val="24"/>
          <w:szCs w:val="24"/>
        </w:rPr>
        <w:t>Mitterahaline sissemakse</w:t>
      </w:r>
    </w:p>
    <w:p w14:paraId="7E666AB1" w14:textId="77777777" w:rsidR="005A0821" w:rsidRPr="00C37B9F" w:rsidRDefault="005A0821" w:rsidP="00C37B9F">
      <w:pPr>
        <w:spacing w:line="276" w:lineRule="auto"/>
        <w:jc w:val="both"/>
        <w:rPr>
          <w:rFonts w:ascii="Times New Roman" w:hAnsi="Times New Roman" w:cs="Times New Roman"/>
          <w:b/>
          <w:sz w:val="24"/>
          <w:szCs w:val="24"/>
        </w:rPr>
      </w:pPr>
    </w:p>
    <w:p w14:paraId="3A180B5A" w14:textId="77777777" w:rsidR="005A0821" w:rsidRPr="00C37B9F" w:rsidRDefault="005A0821" w:rsidP="00C37B9F">
      <w:pPr>
        <w:spacing w:line="276" w:lineRule="auto"/>
        <w:jc w:val="both"/>
        <w:rPr>
          <w:rFonts w:ascii="Times New Roman" w:hAnsi="Times New Roman" w:cs="Times New Roman"/>
          <w:b/>
          <w:sz w:val="24"/>
          <w:szCs w:val="24"/>
        </w:rPr>
      </w:pPr>
      <w:r w:rsidRPr="00C37B9F">
        <w:rPr>
          <w:rFonts w:ascii="Times New Roman" w:hAnsi="Times New Roman" w:cs="Times New Roman"/>
          <w:b/>
          <w:sz w:val="24"/>
          <w:szCs w:val="24"/>
        </w:rPr>
        <w:t>NB!</w:t>
      </w:r>
      <w:r w:rsidR="00C37B9F" w:rsidRPr="00C37B9F">
        <w:rPr>
          <w:rFonts w:ascii="Times New Roman" w:hAnsi="Times New Roman" w:cs="Times New Roman"/>
          <w:b/>
          <w:sz w:val="24"/>
          <w:szCs w:val="24"/>
        </w:rPr>
        <w:t xml:space="preserve"> Meetmes 16.2 on mitterahaline sissemakse omafinantseeringuna lubatud ainult tasustamata tööna, </w:t>
      </w:r>
      <w:r w:rsidRPr="00C37B9F">
        <w:rPr>
          <w:rFonts w:ascii="Times New Roman" w:hAnsi="Times New Roman" w:cs="Times New Roman"/>
          <w:b/>
          <w:sz w:val="24"/>
          <w:szCs w:val="24"/>
        </w:rPr>
        <w:t>mitte vabatahtliku tööna.</w:t>
      </w:r>
    </w:p>
    <w:p w14:paraId="477849B2" w14:textId="77777777" w:rsidR="005A0821" w:rsidRPr="00C37B9F" w:rsidRDefault="005A0821" w:rsidP="00C37B9F">
      <w:pPr>
        <w:spacing w:line="276" w:lineRule="auto"/>
        <w:jc w:val="both"/>
        <w:rPr>
          <w:rFonts w:ascii="Times New Roman" w:hAnsi="Times New Roman" w:cs="Times New Roman"/>
          <w:b/>
          <w:sz w:val="24"/>
          <w:szCs w:val="24"/>
        </w:rPr>
      </w:pPr>
    </w:p>
    <w:p w14:paraId="6CB00EDF" w14:textId="77777777" w:rsidR="005A0821" w:rsidRPr="00C37B9F"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Mõisted „tasuta töötamine" ja „vabatahtlik tegevus" ei ole samatähenduslikud ning maksukorralduse seaduse mõistes tuleb neid eristada.</w:t>
      </w:r>
    </w:p>
    <w:p w14:paraId="39377FB7" w14:textId="77777777"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b/>
          <w:sz w:val="24"/>
          <w:szCs w:val="24"/>
          <w:lang w:eastAsia="et-EE"/>
        </w:rPr>
        <w:t>Tasuta töötamine</w:t>
      </w:r>
    </w:p>
    <w:p w14:paraId="212B6F51" w14:textId="77777777"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Tasuta töötamine äriühingu või FIE majandushuvides e</w:t>
      </w:r>
      <w:r w:rsidRPr="00C37B9F">
        <w:rPr>
          <w:rFonts w:ascii="Times New Roman" w:eastAsia="Times New Roman" w:hAnsi="Times New Roman" w:cs="Times New Roman"/>
          <w:sz w:val="24"/>
          <w:szCs w:val="24"/>
          <w:lang w:eastAsia="et-EE"/>
        </w:rPr>
        <w:t>eldab töötamise registris registreerimist</w:t>
      </w:r>
      <w:r w:rsidRPr="005A0821">
        <w:rPr>
          <w:rFonts w:ascii="Times New Roman" w:eastAsia="Times New Roman" w:hAnsi="Times New Roman" w:cs="Times New Roman"/>
          <w:sz w:val="24"/>
          <w:szCs w:val="24"/>
          <w:lang w:eastAsia="et-EE"/>
        </w:rPr>
        <w:t>, kuivõrd tavapäraselt makstakse sellise töötamise eest tasu ning töötamisel on töölepingu või VÕS-lepingu tunnused.</w:t>
      </w:r>
    </w:p>
    <w:p w14:paraId="1A5A361E" w14:textId="40D5DE51"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Kahtluse korral, kas tegevus tuleb kanda töötamise registrisse, tuleb esmalt </w:t>
      </w:r>
      <w:r w:rsidRPr="00C37B9F">
        <w:rPr>
          <w:rFonts w:ascii="Times New Roman" w:eastAsia="Times New Roman" w:hAnsi="Times New Roman" w:cs="Times New Roman"/>
          <w:sz w:val="24"/>
          <w:szCs w:val="24"/>
          <w:lang w:eastAsia="et-EE"/>
        </w:rPr>
        <w:t>analüüsida, kas tegevus võib üldse olla käsitletav töö tegemisena</w:t>
      </w:r>
      <w:r w:rsidRPr="005A0821">
        <w:rPr>
          <w:rFonts w:ascii="Times New Roman" w:eastAsia="Times New Roman" w:hAnsi="Times New Roman" w:cs="Times New Roman"/>
          <w:sz w:val="24"/>
          <w:szCs w:val="24"/>
          <w:lang w:eastAsia="et-EE"/>
        </w:rPr>
        <w:t>. Kui isik ei tee tööd, siis ei ole midagi (st töötamist) registreerida.</w:t>
      </w:r>
    </w:p>
    <w:p w14:paraId="11DADF83" w14:textId="6B5E60F0"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Tasuta töötamine kasumi teenimisele suunatud ärisektoris saab olla üksnes erandlik ning ei ole mõeldav,</w:t>
      </w:r>
      <w:r w:rsidR="009F2AC2">
        <w:rPr>
          <w:rFonts w:ascii="Times New Roman" w:eastAsia="Times New Roman" w:hAnsi="Times New Roman" w:cs="Times New Roman"/>
          <w:sz w:val="24"/>
          <w:szCs w:val="24"/>
          <w:lang w:eastAsia="et-EE"/>
        </w:rPr>
        <w:t xml:space="preserve"> et keegi teeks pikema perioodi</w:t>
      </w:r>
      <w:r w:rsidR="00C40729">
        <w:rPr>
          <w:rFonts w:ascii="Times New Roman" w:eastAsia="Times New Roman" w:hAnsi="Times New Roman" w:cs="Times New Roman"/>
          <w:sz w:val="24"/>
          <w:szCs w:val="24"/>
          <w:lang w:eastAsia="et-EE"/>
        </w:rPr>
        <w:t xml:space="preserve"> </w:t>
      </w:r>
      <w:r w:rsidRPr="005A0821">
        <w:rPr>
          <w:rFonts w:ascii="Times New Roman" w:eastAsia="Times New Roman" w:hAnsi="Times New Roman" w:cs="Times New Roman"/>
          <w:sz w:val="24"/>
          <w:szCs w:val="24"/>
          <w:lang w:eastAsia="et-EE"/>
        </w:rPr>
        <w:t>vältel tööd ilma selle eest tasu saamata.</w:t>
      </w:r>
    </w:p>
    <w:p w14:paraId="14BD6A6D" w14:textId="59348D56" w:rsidR="005A0821" w:rsidRPr="00C37B9F"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Majandushuvi</w:t>
      </w:r>
      <w:r w:rsidRPr="005A0821">
        <w:rPr>
          <w:rFonts w:ascii="Times New Roman" w:eastAsia="Times New Roman" w:hAnsi="Times New Roman" w:cs="Times New Roman"/>
          <w:sz w:val="24"/>
          <w:szCs w:val="24"/>
          <w:lang w:eastAsia="et-EE"/>
        </w:rPr>
        <w:t xml:space="preserve"> saab töötamise registri seisukohalt olla üksnes äriühingul (täisühing, usaldusühing, osaühing, aktsiaselts ja tulundusühistu) või </w:t>
      </w:r>
      <w:r w:rsidRPr="00C37B9F">
        <w:rPr>
          <w:rFonts w:ascii="Times New Roman" w:eastAsia="Times New Roman" w:hAnsi="Times New Roman" w:cs="Times New Roman"/>
          <w:sz w:val="24"/>
          <w:szCs w:val="24"/>
          <w:lang w:eastAsia="et-EE"/>
        </w:rPr>
        <w:t>füüsilisest isikust ettevõtja</w:t>
      </w:r>
      <w:r w:rsidR="00C40729">
        <w:rPr>
          <w:rFonts w:ascii="Times New Roman" w:eastAsia="Times New Roman" w:hAnsi="Times New Roman" w:cs="Times New Roman"/>
          <w:sz w:val="24"/>
          <w:szCs w:val="24"/>
          <w:lang w:eastAsia="et-EE"/>
        </w:rPr>
        <w:t>l</w:t>
      </w:r>
      <w:r w:rsidRPr="00C37B9F">
        <w:rPr>
          <w:rFonts w:ascii="Times New Roman" w:eastAsia="Times New Roman" w:hAnsi="Times New Roman" w:cs="Times New Roman"/>
          <w:sz w:val="24"/>
          <w:szCs w:val="24"/>
          <w:lang w:eastAsia="et-EE"/>
        </w:rPr>
        <w:t>.</w:t>
      </w:r>
    </w:p>
    <w:p w14:paraId="41A8962A" w14:textId="77777777"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b/>
          <w:sz w:val="24"/>
          <w:szCs w:val="24"/>
          <w:lang w:eastAsia="et-EE"/>
        </w:rPr>
      </w:pPr>
      <w:r w:rsidRPr="005A0821">
        <w:rPr>
          <w:rFonts w:ascii="Times New Roman" w:eastAsia="Times New Roman" w:hAnsi="Times New Roman" w:cs="Times New Roman"/>
          <w:b/>
          <w:sz w:val="24"/>
          <w:szCs w:val="24"/>
          <w:lang w:eastAsia="et-EE"/>
        </w:rPr>
        <w:t>Vabatahtlik tegevus</w:t>
      </w:r>
    </w:p>
    <w:p w14:paraId="7B95966E" w14:textId="77777777"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Puhtalt heategevusliku olemusega tegevust (nt abivajajate abistamine või ühiskonna hüvanguks tegutsemine), mis ei ole seotud ettevõtja põhitegevusega ega soodusta tema majandushuve, </w:t>
      </w:r>
      <w:r w:rsidRPr="00C37B9F">
        <w:rPr>
          <w:rFonts w:ascii="Times New Roman" w:eastAsia="Times New Roman" w:hAnsi="Times New Roman" w:cs="Times New Roman"/>
          <w:sz w:val="24"/>
          <w:szCs w:val="24"/>
          <w:lang w:eastAsia="et-EE"/>
        </w:rPr>
        <w:t>töötamise registrisse ei kanta</w:t>
      </w:r>
      <w:r w:rsidRPr="005A0821">
        <w:rPr>
          <w:rFonts w:ascii="Times New Roman" w:eastAsia="Times New Roman" w:hAnsi="Times New Roman" w:cs="Times New Roman"/>
          <w:sz w:val="24"/>
          <w:szCs w:val="24"/>
          <w:lang w:eastAsia="et-EE"/>
        </w:rPr>
        <w:t>.</w:t>
      </w:r>
    </w:p>
    <w:p w14:paraId="34B8FD9C" w14:textId="77777777" w:rsidR="005A0821" w:rsidRPr="005A0821"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Vabatahtliku tegevuse saab siduda </w:t>
      </w:r>
      <w:r w:rsidRPr="00C37B9F">
        <w:rPr>
          <w:rFonts w:ascii="Times New Roman" w:eastAsia="Times New Roman" w:hAnsi="Times New Roman" w:cs="Times New Roman"/>
          <w:sz w:val="24"/>
          <w:szCs w:val="24"/>
          <w:lang w:eastAsia="et-EE"/>
        </w:rPr>
        <w:t>avaliku huvi ja ühiskonnaga</w:t>
      </w:r>
      <w:r w:rsidRPr="005A0821">
        <w:rPr>
          <w:rFonts w:ascii="Times New Roman" w:eastAsia="Times New Roman" w:hAnsi="Times New Roman" w:cs="Times New Roman"/>
          <w:sz w:val="24"/>
          <w:szCs w:val="24"/>
          <w:lang w:eastAsia="et-EE"/>
        </w:rPr>
        <w:t>, mille käigus pakutakse oma aega, energiat või oskuseid vabast ajast ja tahtest ning mille eest tavapäraselt tasu ei maksta.</w:t>
      </w:r>
    </w:p>
    <w:p w14:paraId="37E6290E" w14:textId="77777777" w:rsidR="005A0821" w:rsidRPr="00C37B9F" w:rsidRDefault="005A0821" w:rsidP="00C37B9F">
      <w:pPr>
        <w:shd w:val="clear" w:color="auto" w:fill="FFFFFF"/>
        <w:spacing w:after="100" w:afterAutospacing="1" w:line="276" w:lineRule="auto"/>
        <w:jc w:val="both"/>
        <w:rPr>
          <w:rFonts w:ascii="Times New Roman" w:eastAsia="Times New Roman" w:hAnsi="Times New Roman" w:cs="Times New Roman"/>
          <w:sz w:val="24"/>
          <w:szCs w:val="24"/>
          <w:lang w:eastAsia="et-EE"/>
        </w:rPr>
      </w:pPr>
      <w:r w:rsidRPr="005A0821">
        <w:rPr>
          <w:rFonts w:ascii="Times New Roman" w:eastAsia="Times New Roman" w:hAnsi="Times New Roman" w:cs="Times New Roman"/>
          <w:sz w:val="24"/>
          <w:szCs w:val="24"/>
          <w:lang w:eastAsia="et-EE"/>
        </w:rPr>
        <w:t>Selliste juriidiliste isikute nagu sihtasutuste ja mittetulundusühingute heaks vabatahtlikkuse alusel töötavaid isikuid töötamise registris registreerima ei pea, sest mittetulundusühingutel ja sihtasutustel ei saa nende olemusest lähtudes majandushuvi olla.</w:t>
      </w:r>
    </w:p>
    <w:p w14:paraId="13C1E0B2" w14:textId="77777777" w:rsidR="002A77DE" w:rsidRPr="00C37B9F" w:rsidRDefault="002A77DE" w:rsidP="00C37B9F">
      <w:p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Euroopa Nõukogu määrus (EL) 1303/2013 artikkel 69 lõige 1 sätestab, et mitterahalist sissemakset võib teatud tingimustel lubada:</w:t>
      </w:r>
    </w:p>
    <w:p w14:paraId="0FD5C1A4" w14:textId="77777777" w:rsidR="002A77DE" w:rsidRPr="00C37B9F" w:rsidRDefault="002A77DE" w:rsidP="00C37B9F">
      <w:pPr>
        <w:pStyle w:val="ListParagraph"/>
        <w:numPr>
          <w:ilvl w:val="0"/>
          <w:numId w:val="1"/>
        </w:num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Toetus ei ületa rahastamiskõlblikke kogukulutusi (v.a mitterahalised sissemaksed) tegevuse lõpus;</w:t>
      </w:r>
    </w:p>
    <w:p w14:paraId="1672742B" w14:textId="77777777" w:rsidR="002A77DE" w:rsidRPr="00C37B9F" w:rsidRDefault="002A77DE" w:rsidP="00C37B9F">
      <w:pPr>
        <w:pStyle w:val="ListParagraph"/>
        <w:numPr>
          <w:ilvl w:val="0"/>
          <w:numId w:val="1"/>
        </w:num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mitterahaliste sissemaksete väärtust ja tegelikku tegemist saab sõltumatult hinnata;</w:t>
      </w:r>
    </w:p>
    <w:p w14:paraId="3FDF42F4" w14:textId="77777777" w:rsidR="002A77DE" w:rsidRPr="00C37B9F" w:rsidRDefault="002A77DE" w:rsidP="00C37B9F">
      <w:pPr>
        <w:pStyle w:val="ListParagraph"/>
        <w:numPr>
          <w:ilvl w:val="0"/>
          <w:numId w:val="1"/>
        </w:num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tasustamata töö vormis mitterahalise sissemakse korral määratakse selle töö väärtus, võttes arvesse kontrollitud kulutatud aega ja samaväärse töö eest makstava tasu määra.</w:t>
      </w:r>
    </w:p>
    <w:p w14:paraId="2EAF7046" w14:textId="187BBC4C" w:rsidR="003F6584" w:rsidRPr="009F2AC2" w:rsidRDefault="003F6584" w:rsidP="003F6584">
      <w:pPr>
        <w:spacing w:after="240" w:line="276" w:lineRule="auto"/>
        <w:jc w:val="both"/>
        <w:rPr>
          <w:rFonts w:ascii="Times New Roman" w:hAnsi="Times New Roman" w:cs="Times New Roman"/>
          <w:b/>
          <w:sz w:val="24"/>
          <w:szCs w:val="24"/>
        </w:rPr>
      </w:pPr>
      <w:r w:rsidRPr="009F2AC2">
        <w:rPr>
          <w:rFonts w:ascii="Times New Roman" w:hAnsi="Times New Roman" w:cs="Times New Roman"/>
          <w:b/>
          <w:sz w:val="24"/>
          <w:szCs w:val="24"/>
        </w:rPr>
        <w:lastRenderedPageBreak/>
        <w:t>Vastavalt  Euroopa Liidu ühise põllumajanduspoliitika rakendamise seaduse § 76 lg 6 sätestatule taotluse vastavust toetuse saamise nõuetele on õigus kontrollida ka taotlejaga seotud kolmanda isiku juures, kes valdab toetuse saamisega seotud andmeid või dokumente, ja toetatava tegevuse elluviimise kohas.</w:t>
      </w:r>
    </w:p>
    <w:p w14:paraId="7318605B" w14:textId="77777777" w:rsidR="002A77DE" w:rsidRPr="00C37B9F" w:rsidRDefault="002A77DE" w:rsidP="00C37B9F">
      <w:p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Mitterahalise sissemakse eelduseks on kulu tekkimine tava</w:t>
      </w:r>
      <w:r w:rsidR="00357609" w:rsidRPr="00C37B9F">
        <w:rPr>
          <w:rFonts w:ascii="Times New Roman" w:hAnsi="Times New Roman" w:cs="Times New Roman"/>
          <w:sz w:val="24"/>
          <w:szCs w:val="24"/>
        </w:rPr>
        <w:t>situatsioonis. Isik või asutus</w:t>
      </w:r>
      <w:r w:rsidRPr="00C37B9F">
        <w:rPr>
          <w:rFonts w:ascii="Times New Roman" w:hAnsi="Times New Roman" w:cs="Times New Roman"/>
          <w:sz w:val="24"/>
          <w:szCs w:val="24"/>
        </w:rPr>
        <w:t xml:space="preserve"> annab projekti raames mitterahalise sissemaksena toetuse saajale või partnerile kasutada ruumi, seadme, materjali või vahendi või osutab tasuta teenust, mille eest toetuse saaja või partner tavasituatsioonis peaks maksma, või toetuse saaja või partneri jaoks tehakse </w:t>
      </w:r>
      <w:r w:rsidR="00357609" w:rsidRPr="00C37B9F">
        <w:rPr>
          <w:rFonts w:ascii="Times New Roman" w:hAnsi="Times New Roman" w:cs="Times New Roman"/>
          <w:sz w:val="24"/>
          <w:szCs w:val="24"/>
        </w:rPr>
        <w:t>tasustamata</w:t>
      </w:r>
      <w:r w:rsidRPr="00C37B9F">
        <w:rPr>
          <w:rFonts w:ascii="Times New Roman" w:hAnsi="Times New Roman" w:cs="Times New Roman"/>
          <w:sz w:val="24"/>
          <w:szCs w:val="24"/>
        </w:rPr>
        <w:t xml:space="preserve"> tööd.</w:t>
      </w:r>
    </w:p>
    <w:p w14:paraId="09357B79" w14:textId="77777777" w:rsidR="0080260C" w:rsidRPr="00C37B9F" w:rsidRDefault="0080260C" w:rsidP="00C37B9F">
      <w:pPr>
        <w:spacing w:line="276" w:lineRule="auto"/>
        <w:jc w:val="both"/>
        <w:rPr>
          <w:rFonts w:ascii="Times New Roman" w:hAnsi="Times New Roman" w:cs="Times New Roman"/>
          <w:sz w:val="24"/>
          <w:szCs w:val="24"/>
        </w:rPr>
      </w:pPr>
    </w:p>
    <w:p w14:paraId="63CE8089" w14:textId="77777777" w:rsidR="002A77DE" w:rsidRDefault="002A77DE" w:rsidP="00C37B9F">
      <w:pPr>
        <w:spacing w:line="276" w:lineRule="auto"/>
        <w:jc w:val="both"/>
        <w:rPr>
          <w:rFonts w:ascii="Times New Roman" w:hAnsi="Times New Roman" w:cs="Times New Roman"/>
          <w:sz w:val="24"/>
          <w:szCs w:val="24"/>
        </w:rPr>
      </w:pPr>
      <w:r w:rsidRPr="00C37B9F">
        <w:rPr>
          <w:rFonts w:ascii="Times New Roman" w:hAnsi="Times New Roman" w:cs="Times New Roman"/>
          <w:sz w:val="24"/>
          <w:szCs w:val="24"/>
        </w:rPr>
        <w:t>Kui kulu tekkimist tavasituatsioonis ei ole võima</w:t>
      </w:r>
      <w:r w:rsidR="0080260C" w:rsidRPr="00C37B9F">
        <w:rPr>
          <w:rFonts w:ascii="Times New Roman" w:hAnsi="Times New Roman" w:cs="Times New Roman"/>
          <w:sz w:val="24"/>
          <w:szCs w:val="24"/>
        </w:rPr>
        <w:t>lik tõendada, ei ole tasustamata</w:t>
      </w:r>
      <w:r w:rsidRPr="00C37B9F">
        <w:rPr>
          <w:rFonts w:ascii="Times New Roman" w:hAnsi="Times New Roman" w:cs="Times New Roman"/>
          <w:sz w:val="24"/>
          <w:szCs w:val="24"/>
        </w:rPr>
        <w:t xml:space="preserve"> töö või tasuta ruumide projekti kasutusse andmine mitterahalise sissemaksena abikõlblik.</w:t>
      </w:r>
    </w:p>
    <w:p w14:paraId="0425EEBA" w14:textId="77777777" w:rsidR="0080260C" w:rsidRPr="00C37B9F" w:rsidRDefault="0080260C" w:rsidP="00C37B9F">
      <w:pPr>
        <w:spacing w:line="276" w:lineRule="auto"/>
        <w:jc w:val="both"/>
        <w:rPr>
          <w:rFonts w:ascii="Times New Roman" w:hAnsi="Times New Roman" w:cs="Times New Roman"/>
          <w:sz w:val="24"/>
          <w:szCs w:val="24"/>
        </w:rPr>
      </w:pPr>
    </w:p>
    <w:p w14:paraId="3E43F8B6" w14:textId="77777777" w:rsidR="002A77DE" w:rsidRPr="00C37B9F" w:rsidRDefault="002A77DE" w:rsidP="00C37B9F">
      <w:pPr>
        <w:keepNext/>
        <w:shd w:val="clear" w:color="auto" w:fill="FFFFFF"/>
        <w:spacing w:after="240" w:line="276" w:lineRule="auto"/>
        <w:jc w:val="both"/>
        <w:rPr>
          <w:rFonts w:ascii="Times New Roman" w:hAnsi="Times New Roman" w:cs="Times New Roman"/>
          <w:sz w:val="24"/>
          <w:szCs w:val="24"/>
        </w:rPr>
      </w:pPr>
      <w:r w:rsidRPr="00C37B9F">
        <w:rPr>
          <w:rFonts w:ascii="Times New Roman" w:hAnsi="Times New Roman" w:cs="Times New Roman"/>
          <w:sz w:val="24"/>
          <w:szCs w:val="24"/>
        </w:rPr>
        <w:t>Toetuse summa ei tohi ületada reaalselt tehtud ja makstud abikõlblike kulutuste summat - mitterahalise osa protsent abikõlblikest reaalsetest kulutustest ei või ületada omafinantseeringu protsenti. Kui omafinantseering on 10%, siis võib mitterahaline sissemakse olla ka kuni 10% eelarvest. Nt eelarve on 388 890 eurot, toetuse summa 350 000 eurot, siis mitterahaline sissemakse võib olla kuni 38 890 euro väärtuses kogu projekti kohta.</w:t>
      </w:r>
    </w:p>
    <w:p w14:paraId="50A93F39" w14:textId="77777777" w:rsidR="002A77DE" w:rsidRDefault="002A77DE" w:rsidP="00C37B9F">
      <w:pPr>
        <w:keepNext/>
        <w:shd w:val="clear" w:color="auto" w:fill="FFFFFF"/>
        <w:spacing w:after="240" w:line="276" w:lineRule="auto"/>
        <w:jc w:val="both"/>
        <w:rPr>
          <w:rFonts w:ascii="Times New Roman" w:hAnsi="Times New Roman" w:cs="Times New Roman"/>
          <w:sz w:val="24"/>
          <w:szCs w:val="24"/>
        </w:rPr>
      </w:pPr>
      <w:r w:rsidRPr="00C37B9F">
        <w:rPr>
          <w:rFonts w:ascii="Times New Roman" w:hAnsi="Times New Roman" w:cs="Times New Roman"/>
          <w:sz w:val="24"/>
          <w:szCs w:val="24"/>
        </w:rPr>
        <w:t>Toetustaotluse eelarves näidatakse kulutuse maht, kogus ja väärtus jm näitajad. Tuleb esitada vastav kalkulatsioon, viide või muu dokument, mille alusel on hind/väärtus saadud ja millega tõendatakse kulu mõistlikkust.</w:t>
      </w:r>
    </w:p>
    <w:p w14:paraId="5D825534" w14:textId="66E9D76A" w:rsidR="00E8769C" w:rsidRPr="00E8769C" w:rsidRDefault="00E8769C" w:rsidP="00E8769C">
      <w:pPr>
        <w:spacing w:after="240" w:line="276" w:lineRule="auto"/>
        <w:jc w:val="both"/>
        <w:rPr>
          <w:rFonts w:ascii="Times New Roman" w:hAnsi="Times New Roman" w:cs="Times New Roman"/>
          <w:sz w:val="24"/>
          <w:szCs w:val="24"/>
        </w:rPr>
      </w:pPr>
      <w:r w:rsidRPr="00E8769C">
        <w:rPr>
          <w:rFonts w:ascii="Times New Roman" w:hAnsi="Times New Roman" w:cs="Times New Roman"/>
          <w:sz w:val="24"/>
          <w:szCs w:val="24"/>
        </w:rPr>
        <w:t xml:space="preserve">Tasuta töötamise liigiga ei kaasne töötajale sotsiaalseid tagatisi nagu töötuskindlustushüvitis või ravikindlustus ja samuti  ei teki selle kande alusel õigust töötutoetusele. </w:t>
      </w:r>
    </w:p>
    <w:p w14:paraId="6C0B9B4E" w14:textId="60ECEFB0" w:rsidR="00E8769C" w:rsidRPr="00E8769C" w:rsidRDefault="00E8769C" w:rsidP="00E8769C">
      <w:pPr>
        <w:pStyle w:val="CommentText"/>
        <w:spacing w:line="276" w:lineRule="auto"/>
        <w:jc w:val="both"/>
        <w:rPr>
          <w:rFonts w:ascii="Times New Roman" w:hAnsi="Times New Roman" w:cs="Times New Roman"/>
          <w:sz w:val="24"/>
          <w:szCs w:val="24"/>
        </w:rPr>
      </w:pPr>
      <w:r w:rsidRPr="00E8769C">
        <w:rPr>
          <w:rFonts w:ascii="Times New Roman" w:hAnsi="Times New Roman" w:cs="Times New Roman"/>
          <w:sz w:val="24"/>
          <w:szCs w:val="24"/>
        </w:rPr>
        <w:t>Vastavalt Töölepingu seaduse § 1 lg  2 sätestatule, kui isik teeb teisele isikule tööd, mille tegemist võib vastavalt asjaoludele oodata üksnes tasu eest, eeldatakse, et tegemist on töölepinguga.</w:t>
      </w:r>
    </w:p>
    <w:p w14:paraId="1452035D" w14:textId="249FA5D8" w:rsidR="00E8769C" w:rsidRPr="00E8769C" w:rsidRDefault="00E8769C" w:rsidP="00E8769C">
      <w:pPr>
        <w:pStyle w:val="CommentText"/>
        <w:spacing w:line="276" w:lineRule="auto"/>
        <w:jc w:val="both"/>
        <w:rPr>
          <w:rFonts w:ascii="Times New Roman" w:hAnsi="Times New Roman" w:cs="Times New Roman"/>
          <w:sz w:val="24"/>
          <w:szCs w:val="24"/>
        </w:rPr>
      </w:pPr>
      <w:r w:rsidRPr="00E8769C">
        <w:rPr>
          <w:rFonts w:ascii="Times New Roman" w:hAnsi="Times New Roman" w:cs="Times New Roman"/>
          <w:sz w:val="24"/>
          <w:szCs w:val="24"/>
        </w:rPr>
        <w:t>See tähendab, et töölepingu seaduse eelduse järgi ei saa töölepinguga tasustamata tööd teha ehk tasu saamine on üks töösuhte määratlemise eeldusi. Kui ei ole tasu, siis ei ole ka töölepingulist suhet. Tasuta saab osutada muid teenuseid ehk näiteks on võimalik tasuta töövõtt või käsund, kuid mitte tööleping.</w:t>
      </w:r>
    </w:p>
    <w:p w14:paraId="2957BC5C" w14:textId="754AED6B" w:rsidR="00E8769C" w:rsidRPr="009F2AC2" w:rsidRDefault="005E65E0" w:rsidP="00E8769C">
      <w:pPr>
        <w:pStyle w:val="CommentText"/>
        <w:spacing w:line="276" w:lineRule="auto"/>
        <w:jc w:val="both"/>
        <w:rPr>
          <w:rFonts w:ascii="Times New Roman" w:hAnsi="Times New Roman" w:cs="Times New Roman"/>
          <w:b/>
          <w:sz w:val="24"/>
          <w:szCs w:val="24"/>
        </w:rPr>
      </w:pPr>
      <w:r>
        <w:rPr>
          <w:rFonts w:ascii="Times New Roman" w:hAnsi="Times New Roman" w:cs="Times New Roman"/>
          <w:b/>
          <w:sz w:val="24"/>
          <w:szCs w:val="24"/>
        </w:rPr>
        <w:t>T</w:t>
      </w:r>
      <w:r w:rsidR="00E8769C" w:rsidRPr="009F2AC2">
        <w:rPr>
          <w:rFonts w:ascii="Times New Roman" w:hAnsi="Times New Roman" w:cs="Times New Roman"/>
          <w:b/>
          <w:sz w:val="24"/>
          <w:szCs w:val="24"/>
        </w:rPr>
        <w:t>öölepingu lisaga</w:t>
      </w:r>
      <w:r>
        <w:rPr>
          <w:rFonts w:ascii="Times New Roman" w:hAnsi="Times New Roman" w:cs="Times New Roman"/>
          <w:b/>
          <w:sz w:val="24"/>
          <w:szCs w:val="24"/>
        </w:rPr>
        <w:t xml:space="preserve"> ei saa</w:t>
      </w:r>
      <w:r w:rsidR="00E8769C" w:rsidRPr="009F2AC2">
        <w:rPr>
          <w:rFonts w:ascii="Times New Roman" w:hAnsi="Times New Roman" w:cs="Times New Roman"/>
          <w:b/>
          <w:sz w:val="24"/>
          <w:szCs w:val="24"/>
        </w:rPr>
        <w:t xml:space="preserve"> kokku leppida tasuta töötamist. See on eraldi muu teenuse osutamise kokkulepe ning seega peab olema ka vastavalt Töötamise registrisse kantud „Tasustamata tööna“.</w:t>
      </w:r>
    </w:p>
    <w:p w14:paraId="53004554" w14:textId="4CE72DD6" w:rsidR="005E65E0" w:rsidRDefault="005E65E0" w:rsidP="00E8769C">
      <w:pPr>
        <w:keepNext/>
        <w:shd w:val="clear" w:color="auto" w:fill="FFFFFF"/>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Seega </w:t>
      </w:r>
      <w:r w:rsidR="00E8769C" w:rsidRPr="00E8769C">
        <w:rPr>
          <w:rFonts w:ascii="Times New Roman" w:hAnsi="Times New Roman" w:cs="Times New Roman"/>
          <w:sz w:val="24"/>
          <w:szCs w:val="24"/>
        </w:rPr>
        <w:t xml:space="preserve">tuleb </w:t>
      </w:r>
      <w:r>
        <w:rPr>
          <w:rFonts w:ascii="Times New Roman" w:hAnsi="Times New Roman" w:cs="Times New Roman"/>
          <w:sz w:val="24"/>
          <w:szCs w:val="24"/>
        </w:rPr>
        <w:t>sõlmida töövõtu- või käsundusleping, kus tuleb</w:t>
      </w:r>
      <w:r w:rsidR="00E8769C" w:rsidRPr="00E8769C">
        <w:rPr>
          <w:rFonts w:ascii="Times New Roman" w:hAnsi="Times New Roman" w:cs="Times New Roman"/>
          <w:sz w:val="24"/>
          <w:szCs w:val="24"/>
        </w:rPr>
        <w:t xml:space="preserve"> fiks</w:t>
      </w:r>
      <w:r w:rsidR="009F2AC2">
        <w:rPr>
          <w:rFonts w:ascii="Times New Roman" w:hAnsi="Times New Roman" w:cs="Times New Roman"/>
          <w:sz w:val="24"/>
          <w:szCs w:val="24"/>
        </w:rPr>
        <w:t>eerida tasustamata töötamise periood</w:t>
      </w:r>
      <w:r w:rsidR="00E8769C" w:rsidRPr="00E8769C">
        <w:rPr>
          <w:rFonts w:ascii="Times New Roman" w:hAnsi="Times New Roman" w:cs="Times New Roman"/>
          <w:sz w:val="24"/>
          <w:szCs w:val="24"/>
        </w:rPr>
        <w:t>.</w:t>
      </w:r>
    </w:p>
    <w:p w14:paraId="07EB5723" w14:textId="77777777" w:rsidR="002A77DE" w:rsidRDefault="002A77DE" w:rsidP="00C37B9F">
      <w:pPr>
        <w:keepNext/>
        <w:shd w:val="clear" w:color="auto" w:fill="FFFFFF"/>
        <w:spacing w:after="240" w:line="276" w:lineRule="auto"/>
        <w:jc w:val="both"/>
        <w:rPr>
          <w:rFonts w:ascii="Times New Roman" w:hAnsi="Times New Roman" w:cs="Times New Roman"/>
          <w:sz w:val="24"/>
          <w:szCs w:val="24"/>
          <w:shd w:val="clear" w:color="auto" w:fill="FFFFFF"/>
        </w:rPr>
      </w:pPr>
      <w:r w:rsidRPr="00C37B9F">
        <w:rPr>
          <w:rFonts w:ascii="Times New Roman" w:hAnsi="Times New Roman" w:cs="Times New Roman"/>
          <w:sz w:val="24"/>
          <w:szCs w:val="24"/>
        </w:rPr>
        <w:t xml:space="preserve">Lisaks tuleks mitterahalise sissemakse juures lähtuda maaeluministri </w:t>
      </w:r>
      <w:r w:rsidRPr="00C37B9F">
        <w:rPr>
          <w:rFonts w:ascii="Times New Roman" w:hAnsi="Times New Roman" w:cs="Times New Roman"/>
          <w:sz w:val="24"/>
          <w:szCs w:val="24"/>
          <w:lang w:eastAsia="et-EE"/>
        </w:rPr>
        <w:t xml:space="preserve">uute toodete, tavade, protsesside ja tehnoloogiate arendamise toetuse määruse §-s 7 sätestatud personalikulude </w:t>
      </w:r>
      <w:r w:rsidRPr="00C37B9F">
        <w:rPr>
          <w:rFonts w:ascii="Times New Roman" w:hAnsi="Times New Roman" w:cs="Times New Roman"/>
          <w:sz w:val="24"/>
          <w:szCs w:val="24"/>
          <w:lang w:eastAsia="et-EE"/>
        </w:rPr>
        <w:lastRenderedPageBreak/>
        <w:t>abikõlblikkuse protsentidest ja tingimustest (</w:t>
      </w:r>
      <w:r w:rsidRPr="00C37B9F">
        <w:rPr>
          <w:rFonts w:ascii="Times New Roman" w:hAnsi="Times New Roman" w:cs="Times New Roman"/>
          <w:sz w:val="24"/>
          <w:szCs w:val="24"/>
          <w:shd w:val="clear" w:color="auto" w:fill="FFFFFF"/>
        </w:rPr>
        <w:t>personalikulud ei või taotlejal ületada 12 protsenti projekti abikõlbliku kulu maksumusest).</w:t>
      </w:r>
    </w:p>
    <w:p w14:paraId="588CBAD9" w14:textId="68CD55BC" w:rsidR="00691FE2" w:rsidRPr="00691FE2" w:rsidRDefault="00691FE2" w:rsidP="00C37B9F">
      <w:pPr>
        <w:keepNext/>
        <w:shd w:val="clear" w:color="auto" w:fill="FFFFFF"/>
        <w:spacing w:after="24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w:t>
      </w:r>
      <w:r w:rsidRPr="00691FE2">
        <w:rPr>
          <w:rFonts w:ascii="Times New Roman" w:hAnsi="Times New Roman" w:cs="Times New Roman"/>
          <w:sz w:val="24"/>
          <w:szCs w:val="24"/>
          <w:shd w:val="clear" w:color="auto" w:fill="FFFFFF"/>
        </w:rPr>
        <w:t>maosaluse maksumuse kalkuleerimisel personalikulude puhul tuleb arvesse võtta antud  töökoha tavapärast maksumust, mida saab tõendada näiteks kehtiva palgaastmestiku, sarnaste  ülesannete täitmisega seotud töölepingute, varasemate palga väljamaksete jne alusel.</w:t>
      </w:r>
    </w:p>
    <w:p w14:paraId="6A7A7CA1" w14:textId="77777777" w:rsidR="002A77DE" w:rsidRPr="00C37B9F" w:rsidRDefault="002A77DE" w:rsidP="00C37B9F">
      <w:pPr>
        <w:spacing w:line="276" w:lineRule="auto"/>
        <w:jc w:val="both"/>
        <w:rPr>
          <w:rFonts w:ascii="Times New Roman" w:hAnsi="Times New Roman" w:cs="Times New Roman"/>
          <w:b/>
          <w:sz w:val="24"/>
          <w:szCs w:val="24"/>
        </w:rPr>
      </w:pPr>
      <w:r w:rsidRPr="00C37B9F">
        <w:rPr>
          <w:rFonts w:ascii="Times New Roman" w:hAnsi="Times New Roman" w:cs="Times New Roman"/>
          <w:sz w:val="24"/>
          <w:szCs w:val="24"/>
        </w:rPr>
        <w:t xml:space="preserve">Projekti lõpuks ei või projekti elluviimisega seotud personalikulud, sealhulgas töötasu või lepingujärgne tasu ning tööandja või tellija tasutav sotsiaalmaks ja töötuskindlustusmakse ning puhkusetasu ületada 12% projekti abikõlbliku kulu maksumusest. </w:t>
      </w:r>
    </w:p>
    <w:p w14:paraId="0EC30A27" w14:textId="1EB9D4B2" w:rsidR="00312CCF" w:rsidRDefault="00691FE2" w:rsidP="00C37B9F">
      <w:pPr>
        <w:spacing w:before="100" w:beforeAutospacing="1"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Nt. K</w:t>
      </w:r>
      <w:r w:rsidRPr="00691FE2">
        <w:rPr>
          <w:rFonts w:ascii="Times New Roman" w:eastAsia="Times New Roman" w:hAnsi="Times New Roman" w:cs="Times New Roman"/>
          <w:iCs/>
          <w:sz w:val="24"/>
          <w:szCs w:val="24"/>
        </w:rPr>
        <w:t>ui</w:t>
      </w:r>
      <w:r>
        <w:rPr>
          <w:rFonts w:ascii="Times New Roman" w:eastAsia="Times New Roman" w:hAnsi="Times New Roman" w:cs="Times New Roman"/>
          <w:iCs/>
          <w:sz w:val="24"/>
          <w:szCs w:val="24"/>
        </w:rPr>
        <w:t xml:space="preserve"> on selline olukord, </w:t>
      </w:r>
      <w:r w:rsidR="00C40729">
        <w:rPr>
          <w:rFonts w:ascii="Times New Roman" w:eastAsia="Times New Roman" w:hAnsi="Times New Roman" w:cs="Times New Roman"/>
          <w:iCs/>
          <w:sz w:val="24"/>
          <w:szCs w:val="24"/>
        </w:rPr>
        <w:t xml:space="preserve">et </w:t>
      </w:r>
      <w:r w:rsidR="00C40729" w:rsidRPr="00C40729">
        <w:rPr>
          <w:rFonts w:ascii="Times New Roman" w:eastAsia="Times New Roman" w:hAnsi="Times New Roman" w:cs="Times New Roman"/>
          <w:iCs/>
          <w:sz w:val="24"/>
          <w:szCs w:val="24"/>
        </w:rPr>
        <w:t>projektijuht läheb appi katsepõllu rajamisele, siis ta ei saa saada projektijuhitasu, vaid mitterahaline sissemakse arvestatakse katsepõllu rajaja palgafondist (tuleb arvesse võtta antud  töökoha tavapärane maksumus).</w:t>
      </w:r>
    </w:p>
    <w:p w14:paraId="20BBE6C9" w14:textId="220AFAEE" w:rsidR="00312CCF" w:rsidRDefault="00312CCF" w:rsidP="00312CCF">
      <w:pPr>
        <w:spacing w:before="100" w:beforeAutospacing="1" w:after="120" w:line="276"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Vastavalt „Haldusmenetluse seaduse“ § 38 lg 1-3 sätestatule:</w:t>
      </w:r>
    </w:p>
    <w:p w14:paraId="13FB2B93" w14:textId="77777777" w:rsidR="00312CCF" w:rsidRDefault="00312CCF" w:rsidP="00312CCF">
      <w:pPr>
        <w:pStyle w:val="ListParagraph"/>
        <w:numPr>
          <w:ilvl w:val="0"/>
          <w:numId w:val="7"/>
        </w:numPr>
        <w:spacing w:line="276" w:lineRule="auto"/>
        <w:ind w:left="714" w:hanging="357"/>
        <w:jc w:val="both"/>
        <w:rPr>
          <w:rFonts w:ascii="Times New Roman" w:eastAsia="Times New Roman" w:hAnsi="Times New Roman" w:cs="Times New Roman"/>
          <w:iCs/>
          <w:sz w:val="24"/>
          <w:szCs w:val="24"/>
        </w:rPr>
      </w:pPr>
      <w:r w:rsidRPr="00312CCF">
        <w:rPr>
          <w:rFonts w:ascii="Times New Roman" w:eastAsia="Times New Roman" w:hAnsi="Times New Roman" w:cs="Times New Roman"/>
          <w:iCs/>
          <w:sz w:val="24"/>
          <w:szCs w:val="24"/>
        </w:rPr>
        <w:t>Haldusorganil on õigus nõuda haldusmenetluse käigus menetlusosalistelt ning muudelt isikutelt nende käsutuses olevate tõendite ja andmete esitamist, mille alusel haldusorgan teeb kindlaks asja lahendamiseks olulised asjaolud.</w:t>
      </w:r>
    </w:p>
    <w:p w14:paraId="76C22DB1" w14:textId="77777777" w:rsidR="00312CCF" w:rsidRDefault="00312CCF" w:rsidP="00312CCF">
      <w:pPr>
        <w:pStyle w:val="ListParagraph"/>
        <w:numPr>
          <w:ilvl w:val="0"/>
          <w:numId w:val="7"/>
        </w:numPr>
        <w:spacing w:before="100" w:beforeAutospacing="1" w:line="276" w:lineRule="auto"/>
        <w:jc w:val="both"/>
        <w:rPr>
          <w:rFonts w:ascii="Times New Roman" w:eastAsia="Times New Roman" w:hAnsi="Times New Roman" w:cs="Times New Roman"/>
          <w:iCs/>
          <w:sz w:val="24"/>
          <w:szCs w:val="24"/>
        </w:rPr>
      </w:pPr>
      <w:r w:rsidRPr="00312CCF">
        <w:rPr>
          <w:rFonts w:ascii="Times New Roman" w:eastAsia="Times New Roman" w:hAnsi="Times New Roman" w:cs="Times New Roman"/>
          <w:iCs/>
          <w:sz w:val="24"/>
          <w:szCs w:val="24"/>
        </w:rPr>
        <w:t>Tõendiks võib olla menetlusosalise seletus, dokumentaalne tõend, asitõend, paikvaatlus, tunnistaja ütlus ning eksperdi arvamus.</w:t>
      </w:r>
    </w:p>
    <w:p w14:paraId="11BD0263" w14:textId="125FD1B8" w:rsidR="00312CCF" w:rsidRPr="00312CCF" w:rsidRDefault="00312CCF" w:rsidP="00312CCF">
      <w:pPr>
        <w:pStyle w:val="ListParagraph"/>
        <w:numPr>
          <w:ilvl w:val="0"/>
          <w:numId w:val="7"/>
        </w:numPr>
        <w:spacing w:before="100" w:beforeAutospacing="1" w:line="276" w:lineRule="auto"/>
        <w:jc w:val="both"/>
        <w:rPr>
          <w:rFonts w:ascii="Times New Roman" w:eastAsia="Times New Roman" w:hAnsi="Times New Roman" w:cs="Times New Roman"/>
          <w:iCs/>
          <w:sz w:val="24"/>
          <w:szCs w:val="24"/>
        </w:rPr>
      </w:pPr>
      <w:r w:rsidRPr="00312CCF">
        <w:rPr>
          <w:rFonts w:ascii="Times New Roman" w:eastAsia="Times New Roman" w:hAnsi="Times New Roman" w:cs="Times New Roman"/>
          <w:iCs/>
          <w:sz w:val="24"/>
          <w:szCs w:val="24"/>
        </w:rPr>
        <w:t>Menetlusosaline on kohustatud haldusorganile esitama ja teatavaks tegema talle teada olevad menetluses tähtsust omavad asjaolud ja tõendid. Selle kohustuse täitmata jätmisel võib haldusorgan soodustava haldusakti andmisel jätta taotluse läbi vaatamata.</w:t>
      </w:r>
    </w:p>
    <w:p w14:paraId="04102B84" w14:textId="77777777" w:rsidR="005A0821" w:rsidRPr="00C37B9F" w:rsidRDefault="005A0821" w:rsidP="00C37B9F">
      <w:pPr>
        <w:pStyle w:val="NormalWeb"/>
        <w:spacing w:before="150" w:after="150" w:line="276" w:lineRule="auto"/>
        <w:ind w:left="0" w:right="525"/>
        <w:jc w:val="both"/>
        <w:rPr>
          <w:iCs/>
          <w:sz w:val="24"/>
          <w:szCs w:val="24"/>
          <w:lang w:eastAsia="et-EE"/>
        </w:rPr>
      </w:pPr>
      <w:r w:rsidRPr="00C37B9F">
        <w:rPr>
          <w:iCs/>
          <w:sz w:val="24"/>
          <w:szCs w:val="24"/>
          <w:lang w:eastAsia="et-EE"/>
        </w:rPr>
        <w:t>Maksetaotlusega esitatavad dokumendid:</w:t>
      </w:r>
    </w:p>
    <w:p w14:paraId="7B6208BE" w14:textId="5B8723AE" w:rsidR="005A0821" w:rsidRPr="00C37B9F" w:rsidRDefault="009F2AC2" w:rsidP="00C37B9F">
      <w:pPr>
        <w:pStyle w:val="NormalWeb"/>
        <w:numPr>
          <w:ilvl w:val="0"/>
          <w:numId w:val="2"/>
        </w:numPr>
        <w:spacing w:before="150" w:line="276" w:lineRule="auto"/>
        <w:ind w:right="527"/>
        <w:jc w:val="both"/>
        <w:rPr>
          <w:iCs/>
          <w:sz w:val="24"/>
          <w:szCs w:val="24"/>
          <w:lang w:eastAsia="et-EE"/>
        </w:rPr>
      </w:pPr>
      <w:r>
        <w:rPr>
          <w:iCs/>
          <w:sz w:val="24"/>
          <w:szCs w:val="24"/>
          <w:lang w:eastAsia="et-EE"/>
        </w:rPr>
        <w:t>Töövõtu- või käsundusleping</w:t>
      </w:r>
      <w:r w:rsidR="00C37B9F">
        <w:rPr>
          <w:iCs/>
          <w:sz w:val="24"/>
          <w:szCs w:val="24"/>
          <w:lang w:eastAsia="et-EE"/>
        </w:rPr>
        <w:t>, milles on kajastatud tasustamata töö</w:t>
      </w:r>
      <w:r>
        <w:rPr>
          <w:iCs/>
          <w:sz w:val="24"/>
          <w:szCs w:val="24"/>
          <w:lang w:eastAsia="et-EE"/>
        </w:rPr>
        <w:t xml:space="preserve"> sisu ja periood</w:t>
      </w:r>
      <w:r w:rsidR="005A0821" w:rsidRPr="00C37B9F">
        <w:rPr>
          <w:iCs/>
          <w:sz w:val="24"/>
          <w:szCs w:val="24"/>
          <w:lang w:eastAsia="et-EE"/>
        </w:rPr>
        <w:t>;</w:t>
      </w:r>
    </w:p>
    <w:p w14:paraId="7AF65E27" w14:textId="4BED3A65" w:rsidR="005A0821" w:rsidRPr="00C37B9F" w:rsidRDefault="005A0821" w:rsidP="00691FE2">
      <w:pPr>
        <w:pStyle w:val="NormalWeb"/>
        <w:numPr>
          <w:ilvl w:val="0"/>
          <w:numId w:val="2"/>
        </w:numPr>
        <w:spacing w:before="150" w:line="276" w:lineRule="auto"/>
        <w:ind w:left="714" w:right="527" w:hanging="357"/>
        <w:jc w:val="both"/>
        <w:rPr>
          <w:iCs/>
          <w:sz w:val="24"/>
          <w:szCs w:val="24"/>
          <w:lang w:eastAsia="et-EE"/>
        </w:rPr>
      </w:pPr>
      <w:r w:rsidRPr="00C37B9F">
        <w:rPr>
          <w:iCs/>
          <w:sz w:val="24"/>
          <w:szCs w:val="24"/>
          <w:lang w:eastAsia="et-EE"/>
        </w:rPr>
        <w:t xml:space="preserve">kulude tõendamiseks peab pidama tööajatabelit. Tööajatabel sisaldab </w:t>
      </w:r>
      <w:r w:rsidR="00C37B9F">
        <w:rPr>
          <w:iCs/>
          <w:sz w:val="24"/>
          <w:szCs w:val="24"/>
          <w:lang w:eastAsia="et-EE"/>
        </w:rPr>
        <w:t>tasustamata</w:t>
      </w:r>
      <w:r w:rsidR="004654B3">
        <w:rPr>
          <w:iCs/>
          <w:sz w:val="24"/>
          <w:szCs w:val="24"/>
          <w:lang w:eastAsia="et-EE"/>
        </w:rPr>
        <w:t xml:space="preserve"> töö</w:t>
      </w:r>
      <w:bookmarkStart w:id="0" w:name="_GoBack"/>
      <w:bookmarkEnd w:id="0"/>
      <w:r w:rsidRPr="00C37B9F">
        <w:rPr>
          <w:iCs/>
          <w:sz w:val="24"/>
          <w:szCs w:val="24"/>
          <w:lang w:eastAsia="et-EE"/>
        </w:rPr>
        <w:t>aega päevade ja vajadusel ka tundide lõikes ning tehtud tööde ja tegevuste kirjeldusi. Tööajatabelis toodud informatsioon peab kokku langema aruannetes toodud informatsiooniga. Kui esineb lahknevusi, siis tegevusi, mis on seotud väära informatsiooniga, ei loeta abikõlblikuks.</w:t>
      </w:r>
    </w:p>
    <w:p w14:paraId="5886E531" w14:textId="77777777" w:rsidR="005A0821" w:rsidRPr="00C37B9F" w:rsidRDefault="005A0821" w:rsidP="00691FE2">
      <w:pPr>
        <w:pStyle w:val="NormalWeb"/>
        <w:numPr>
          <w:ilvl w:val="0"/>
          <w:numId w:val="2"/>
        </w:numPr>
        <w:spacing w:line="276" w:lineRule="auto"/>
        <w:ind w:left="714" w:right="527" w:hanging="357"/>
        <w:jc w:val="both"/>
        <w:rPr>
          <w:iCs/>
          <w:sz w:val="24"/>
          <w:szCs w:val="24"/>
          <w:lang w:eastAsia="et-EE"/>
        </w:rPr>
      </w:pPr>
      <w:r w:rsidRPr="00C37B9F">
        <w:rPr>
          <w:iCs/>
          <w:sz w:val="24"/>
          <w:szCs w:val="24"/>
          <w:lang w:eastAsia="et-EE"/>
        </w:rPr>
        <w:t>samaväärse töö kalkulatsioon;</w:t>
      </w:r>
    </w:p>
    <w:p w14:paraId="4A137FB6" w14:textId="0A643208" w:rsidR="005A0821" w:rsidRPr="00DD4896" w:rsidRDefault="005A0821" w:rsidP="00691FE2">
      <w:pPr>
        <w:pStyle w:val="NormalWeb"/>
        <w:numPr>
          <w:ilvl w:val="0"/>
          <w:numId w:val="2"/>
        </w:numPr>
        <w:spacing w:after="240" w:line="276" w:lineRule="auto"/>
        <w:ind w:left="714" w:right="527" w:hanging="357"/>
        <w:jc w:val="both"/>
        <w:rPr>
          <w:iCs/>
          <w:sz w:val="24"/>
          <w:szCs w:val="24"/>
          <w:lang w:eastAsia="et-EE"/>
        </w:rPr>
      </w:pPr>
      <w:r w:rsidRPr="00DD4896">
        <w:rPr>
          <w:iCs/>
          <w:sz w:val="24"/>
          <w:szCs w:val="24"/>
          <w:lang w:eastAsia="et-EE"/>
        </w:rPr>
        <w:t xml:space="preserve">maksude ja töötasu tasumist tõendavad dokumendid. Seda sellisel juhul kui maksetaotlusega deklareeritakse ka nt sama töötaja palgakulusid, kes teeb lisaks oma tööle ka </w:t>
      </w:r>
      <w:r w:rsidR="00691FE2" w:rsidRPr="00DD4896">
        <w:rPr>
          <w:iCs/>
          <w:sz w:val="24"/>
          <w:szCs w:val="24"/>
          <w:lang w:eastAsia="et-EE"/>
        </w:rPr>
        <w:t>tasustamata</w:t>
      </w:r>
      <w:r w:rsidRPr="00DD4896">
        <w:rPr>
          <w:iCs/>
          <w:sz w:val="24"/>
          <w:szCs w:val="24"/>
          <w:lang w:eastAsia="et-EE"/>
        </w:rPr>
        <w:t xml:space="preserve"> tööd.</w:t>
      </w:r>
    </w:p>
    <w:p w14:paraId="69174D12" w14:textId="77777777" w:rsidR="005A0821" w:rsidRPr="00C37B9F" w:rsidRDefault="00357609" w:rsidP="00C37B9F">
      <w:pPr>
        <w:pStyle w:val="NormalWeb"/>
        <w:spacing w:before="150" w:after="240" w:line="276" w:lineRule="auto"/>
        <w:ind w:left="0" w:right="527"/>
        <w:jc w:val="both"/>
        <w:rPr>
          <w:iCs/>
          <w:sz w:val="24"/>
          <w:szCs w:val="24"/>
          <w:lang w:eastAsia="et-EE"/>
        </w:rPr>
      </w:pPr>
      <w:r w:rsidRPr="00C37B9F">
        <w:rPr>
          <w:iCs/>
          <w:sz w:val="24"/>
          <w:szCs w:val="24"/>
          <w:lang w:eastAsia="et-EE"/>
        </w:rPr>
        <w:t>Tasustamata</w:t>
      </w:r>
      <w:r w:rsidR="005A0821" w:rsidRPr="00C37B9F">
        <w:rPr>
          <w:iCs/>
          <w:sz w:val="24"/>
          <w:szCs w:val="24"/>
          <w:lang w:eastAsia="et-EE"/>
        </w:rPr>
        <w:t xml:space="preserve"> töö arvestamisel mitterahalise sissemaksena peavad olema täidetud järgmised tingimused: </w:t>
      </w:r>
    </w:p>
    <w:p w14:paraId="3DF49138" w14:textId="6317F270" w:rsidR="00357609" w:rsidRPr="00C37B9F" w:rsidRDefault="00357609" w:rsidP="00C37B9F">
      <w:pPr>
        <w:pStyle w:val="ListParagraph"/>
        <w:numPr>
          <w:ilvl w:val="0"/>
          <w:numId w:val="6"/>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 xml:space="preserve">isik või asutus, kes pakub tasustamata tööd, peab olema nõus selle kasutamisega mitterahalise sissemaksena vastava projekti jaoks. Peab olema </w:t>
      </w:r>
      <w:r w:rsidR="009F2AC2">
        <w:rPr>
          <w:rFonts w:ascii="Times New Roman" w:eastAsia="Times New Roman" w:hAnsi="Times New Roman" w:cs="Times New Roman"/>
          <w:sz w:val="24"/>
          <w:szCs w:val="24"/>
          <w:lang w:eastAsia="et-EE"/>
        </w:rPr>
        <w:t>töövõtu- või käsunduslepingus</w:t>
      </w:r>
      <w:r w:rsidRPr="00C37B9F">
        <w:rPr>
          <w:rFonts w:ascii="Times New Roman" w:eastAsia="Times New Roman" w:hAnsi="Times New Roman" w:cs="Times New Roman"/>
          <w:sz w:val="24"/>
          <w:szCs w:val="24"/>
          <w:lang w:eastAsia="et-EE"/>
        </w:rPr>
        <w:t xml:space="preserve"> fikseeritud</w:t>
      </w:r>
      <w:r w:rsidR="009F2AC2">
        <w:rPr>
          <w:rFonts w:ascii="Times New Roman" w:eastAsia="Times New Roman" w:hAnsi="Times New Roman" w:cs="Times New Roman"/>
          <w:sz w:val="24"/>
          <w:szCs w:val="24"/>
          <w:lang w:eastAsia="et-EE"/>
        </w:rPr>
        <w:t>.</w:t>
      </w:r>
      <w:r w:rsidR="00691FE2">
        <w:rPr>
          <w:rFonts w:ascii="Times New Roman" w:eastAsia="Times New Roman" w:hAnsi="Times New Roman" w:cs="Times New Roman"/>
          <w:sz w:val="24"/>
          <w:szCs w:val="24"/>
          <w:lang w:eastAsia="et-EE"/>
        </w:rPr>
        <w:t xml:space="preserve"> </w:t>
      </w:r>
      <w:r w:rsidRPr="00C37B9F">
        <w:rPr>
          <w:rFonts w:ascii="Times New Roman" w:eastAsia="Times New Roman" w:hAnsi="Times New Roman" w:cs="Times New Roman"/>
          <w:sz w:val="24"/>
          <w:szCs w:val="24"/>
          <w:lang w:eastAsia="et-EE"/>
        </w:rPr>
        <w:t xml:space="preserve">Peab olema kajastatud, et mitterahaline panus on töötaja </w:t>
      </w:r>
      <w:r w:rsidRPr="00C37B9F">
        <w:rPr>
          <w:rFonts w:ascii="Times New Roman" w:eastAsia="Times New Roman" w:hAnsi="Times New Roman" w:cs="Times New Roman"/>
          <w:sz w:val="24"/>
          <w:szCs w:val="24"/>
          <w:lang w:eastAsia="et-EE"/>
        </w:rPr>
        <w:lastRenderedPageBreak/>
        <w:t>tasuta panus projekti, et ta teeb tööd projekti raames selle eest tasu/palka saamata, vastavalt kokkulepitud koormusega.</w:t>
      </w:r>
    </w:p>
    <w:p w14:paraId="6A73D779" w14:textId="5A2DD997" w:rsidR="00357609" w:rsidRPr="00691FE2" w:rsidRDefault="00357609" w:rsidP="00691FE2">
      <w:pPr>
        <w:pStyle w:val="NormalWeb"/>
        <w:numPr>
          <w:ilvl w:val="0"/>
          <w:numId w:val="3"/>
        </w:numPr>
        <w:spacing w:line="276" w:lineRule="auto"/>
        <w:ind w:left="714" w:right="527" w:hanging="357"/>
        <w:jc w:val="both"/>
        <w:rPr>
          <w:iCs/>
          <w:sz w:val="24"/>
          <w:szCs w:val="24"/>
          <w:lang w:eastAsia="et-EE"/>
        </w:rPr>
      </w:pPr>
      <w:r w:rsidRPr="00C37B9F">
        <w:rPr>
          <w:rFonts w:eastAsia="Times New Roman"/>
          <w:sz w:val="24"/>
          <w:szCs w:val="24"/>
          <w:lang w:eastAsia="et-EE"/>
        </w:rPr>
        <w:t xml:space="preserve">tasustamata tööd tehakse oma vabast ajast ja selle eest ei saa tasu ning </w:t>
      </w:r>
      <w:r w:rsidR="00691FE2">
        <w:rPr>
          <w:rFonts w:eastAsia="Times New Roman"/>
          <w:sz w:val="24"/>
          <w:szCs w:val="24"/>
          <w:lang w:eastAsia="et-EE"/>
        </w:rPr>
        <w:t xml:space="preserve">kulude tõendamiseks </w:t>
      </w:r>
      <w:r w:rsidRPr="00C37B9F">
        <w:rPr>
          <w:rFonts w:eastAsia="Times New Roman"/>
          <w:sz w:val="24"/>
          <w:szCs w:val="24"/>
          <w:lang w:eastAsia="et-EE"/>
        </w:rPr>
        <w:t>peetakse tööajatabelit (märkida töötunnid, mille eest tasu ei saada lisaks tasustatavatele töötundidele)</w:t>
      </w:r>
      <w:r w:rsidR="00691FE2">
        <w:rPr>
          <w:rFonts w:eastAsia="Times New Roman"/>
          <w:sz w:val="24"/>
          <w:szCs w:val="24"/>
          <w:lang w:eastAsia="et-EE"/>
        </w:rPr>
        <w:t xml:space="preserve">. </w:t>
      </w:r>
      <w:r w:rsidR="00691FE2" w:rsidRPr="00C37B9F">
        <w:rPr>
          <w:iCs/>
          <w:sz w:val="24"/>
          <w:szCs w:val="24"/>
          <w:lang w:eastAsia="et-EE"/>
        </w:rPr>
        <w:t>Tööajatabel sisaldab tasustamata töö aega päevade ja vajadusel ka tundide lõikes ning tehtud tööde ja tegevuste kirjeldusi. Tööajatabelis toodud informatsioon peab kokku langema aruannetes toodud informatsiooniga. Kui esineb lahknevusi, siis tegevusi, mis on seotud väära informats</w:t>
      </w:r>
      <w:r w:rsidR="00691FE2">
        <w:rPr>
          <w:iCs/>
          <w:sz w:val="24"/>
          <w:szCs w:val="24"/>
          <w:lang w:eastAsia="et-EE"/>
        </w:rPr>
        <w:t>iooniga, ei loeta abikõlblikuks.</w:t>
      </w:r>
    </w:p>
    <w:p w14:paraId="791E3DC1" w14:textId="77777777" w:rsidR="00357609" w:rsidRPr="00C37B9F" w:rsidRDefault="00357609" w:rsidP="00C37B9F">
      <w:pPr>
        <w:pStyle w:val="ListParagraph"/>
        <w:numPr>
          <w:ilvl w:val="0"/>
          <w:numId w:val="3"/>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mitterahaline sissemakse peab olema kajastatud toetustaotluses ja maksetaotluses;</w:t>
      </w:r>
    </w:p>
    <w:p w14:paraId="18341E89" w14:textId="77777777" w:rsidR="00D33001" w:rsidRPr="00C37B9F" w:rsidRDefault="00357609" w:rsidP="00691FE2">
      <w:pPr>
        <w:pStyle w:val="NormalWeb"/>
        <w:numPr>
          <w:ilvl w:val="0"/>
          <w:numId w:val="3"/>
        </w:numPr>
        <w:spacing w:line="276" w:lineRule="auto"/>
        <w:ind w:left="714" w:right="527" w:hanging="357"/>
        <w:jc w:val="both"/>
        <w:rPr>
          <w:iCs/>
          <w:sz w:val="24"/>
          <w:szCs w:val="24"/>
          <w:lang w:eastAsia="et-EE"/>
        </w:rPr>
      </w:pPr>
      <w:r w:rsidRPr="00C37B9F">
        <w:rPr>
          <w:iCs/>
          <w:sz w:val="24"/>
          <w:szCs w:val="24"/>
          <w:lang w:eastAsia="et-EE"/>
        </w:rPr>
        <w:t>mitterahalisi sissemakseid ei või kajastada keskmisest turuhinnast suurematena;</w:t>
      </w:r>
    </w:p>
    <w:p w14:paraId="42BFB6C4" w14:textId="77777777" w:rsidR="00D33001" w:rsidRPr="00C37B9F" w:rsidRDefault="005A0821" w:rsidP="00691FE2">
      <w:pPr>
        <w:pStyle w:val="NormalWeb"/>
        <w:numPr>
          <w:ilvl w:val="0"/>
          <w:numId w:val="3"/>
        </w:numPr>
        <w:spacing w:line="276" w:lineRule="auto"/>
        <w:ind w:left="714" w:right="527" w:hanging="357"/>
        <w:jc w:val="both"/>
        <w:rPr>
          <w:iCs/>
          <w:sz w:val="24"/>
          <w:szCs w:val="24"/>
          <w:lang w:eastAsia="et-EE"/>
        </w:rPr>
      </w:pPr>
      <w:r w:rsidRPr="00C37B9F">
        <w:rPr>
          <w:iCs/>
          <w:sz w:val="24"/>
          <w:szCs w:val="24"/>
          <w:lang w:eastAsia="et-EE"/>
        </w:rPr>
        <w:t>samaväärse töö kalkulatsioon;</w:t>
      </w:r>
    </w:p>
    <w:p w14:paraId="77ED679E" w14:textId="77777777" w:rsidR="005A0821" w:rsidRPr="00C37B9F" w:rsidRDefault="005A0821" w:rsidP="00C37B9F">
      <w:pPr>
        <w:pStyle w:val="ListParagraph"/>
        <w:numPr>
          <w:ilvl w:val="0"/>
          <w:numId w:val="3"/>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mitterahaline sissemakse peab olema projekti eelarves näidatud toetuse saaja või partneri omafinantseeringuna, sõltuvalt sellest, kes oleks tavasituatsioonis rahalise kulu kandja;</w:t>
      </w:r>
    </w:p>
    <w:p w14:paraId="69AD0139" w14:textId="77777777" w:rsidR="005A0821" w:rsidRPr="00C37B9F" w:rsidRDefault="005A0821" w:rsidP="00C37B9F">
      <w:pPr>
        <w:pStyle w:val="ListParagraph"/>
        <w:numPr>
          <w:ilvl w:val="0"/>
          <w:numId w:val="3"/>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kulu peab vastama kõikidele abikõlblikkuse reeglitele;</w:t>
      </w:r>
    </w:p>
    <w:p w14:paraId="2D14C60B" w14:textId="77777777" w:rsidR="005A0821" w:rsidRPr="00C37B9F" w:rsidRDefault="005A0821" w:rsidP="00C37B9F">
      <w:pPr>
        <w:pStyle w:val="ListParagraph"/>
        <w:numPr>
          <w:ilvl w:val="0"/>
          <w:numId w:val="3"/>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mitterahaliste sissemaksete summa ei või ületada omafinantseeringu kogusummat;</w:t>
      </w:r>
    </w:p>
    <w:p w14:paraId="150D5AB2" w14:textId="77777777" w:rsidR="00691FE2" w:rsidRDefault="00D33001" w:rsidP="00691FE2">
      <w:pPr>
        <w:pStyle w:val="ListParagraph"/>
        <w:numPr>
          <w:ilvl w:val="0"/>
          <w:numId w:val="3"/>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tasustamata</w:t>
      </w:r>
      <w:r w:rsidR="005A0821" w:rsidRPr="00C37B9F">
        <w:rPr>
          <w:rFonts w:ascii="Times New Roman" w:eastAsia="Times New Roman" w:hAnsi="Times New Roman" w:cs="Times New Roman"/>
          <w:sz w:val="24"/>
          <w:szCs w:val="24"/>
          <w:lang w:eastAsia="et-EE"/>
        </w:rPr>
        <w:t xml:space="preserve"> töö väärtus peab olema kindlaks määratud selleks tööks kulutatud aja ja tehtud töö eest tavaliselt makstava tunni-, päeva-, nädala-, kuu- või ühikumäära järgi;</w:t>
      </w:r>
    </w:p>
    <w:p w14:paraId="4B112F80" w14:textId="77777777" w:rsidR="005A0821" w:rsidRPr="00C37B9F" w:rsidRDefault="005A0821" w:rsidP="00C37B9F">
      <w:pPr>
        <w:pStyle w:val="ListParagraph"/>
        <w:numPr>
          <w:ilvl w:val="0"/>
          <w:numId w:val="4"/>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mitterahaliste sissemaksetena ei saa kasutada objekti, mis on juba varem saanud riigilt, EL või mõnelt muult asutuselt või organisatsioonilt toetust;</w:t>
      </w:r>
    </w:p>
    <w:p w14:paraId="6D582022" w14:textId="77777777" w:rsidR="005A0821" w:rsidRPr="00C00A59" w:rsidRDefault="005A0821" w:rsidP="00C37B9F">
      <w:pPr>
        <w:pStyle w:val="ListParagraph"/>
        <w:numPr>
          <w:ilvl w:val="0"/>
          <w:numId w:val="4"/>
        </w:numPr>
        <w:shd w:val="clear" w:color="auto" w:fill="FFFFFF"/>
        <w:spacing w:after="0" w:line="276" w:lineRule="auto"/>
        <w:jc w:val="both"/>
        <w:rPr>
          <w:rFonts w:ascii="Times New Roman" w:eastAsia="Times New Roman" w:hAnsi="Times New Roman" w:cs="Times New Roman"/>
          <w:sz w:val="24"/>
          <w:szCs w:val="24"/>
          <w:lang w:eastAsia="et-EE"/>
        </w:rPr>
      </w:pPr>
      <w:r w:rsidRPr="00C37B9F">
        <w:rPr>
          <w:rFonts w:ascii="Times New Roman" w:eastAsia="Times New Roman" w:hAnsi="Times New Roman" w:cs="Times New Roman"/>
          <w:sz w:val="24"/>
          <w:szCs w:val="24"/>
          <w:lang w:eastAsia="et-EE"/>
        </w:rPr>
        <w:t>mitterahalise  sissemakse  hindamisega  ja  selle  väärtuse  tõendamisega  seotud  kulud  ei  ole abikõlblikud.</w:t>
      </w:r>
    </w:p>
    <w:sectPr w:rsidR="005A0821" w:rsidRPr="00C00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C71D1"/>
    <w:multiLevelType w:val="hybridMultilevel"/>
    <w:tmpl w:val="65909F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D537E6"/>
    <w:multiLevelType w:val="hybridMultilevel"/>
    <w:tmpl w:val="550AE9F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194D69"/>
    <w:multiLevelType w:val="hybridMultilevel"/>
    <w:tmpl w:val="9F9C9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2935DAF"/>
    <w:multiLevelType w:val="hybridMultilevel"/>
    <w:tmpl w:val="77544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B7D6AC8"/>
    <w:multiLevelType w:val="hybridMultilevel"/>
    <w:tmpl w:val="A5EE23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ED846E6"/>
    <w:multiLevelType w:val="hybridMultilevel"/>
    <w:tmpl w:val="51CA4B8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632D85"/>
    <w:multiLevelType w:val="hybridMultilevel"/>
    <w:tmpl w:val="F46203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DE"/>
    <w:rsid w:val="001B3C10"/>
    <w:rsid w:val="00205295"/>
    <w:rsid w:val="002218C2"/>
    <w:rsid w:val="002A77DE"/>
    <w:rsid w:val="00312CCF"/>
    <w:rsid w:val="00357609"/>
    <w:rsid w:val="003C2EB7"/>
    <w:rsid w:val="003F6584"/>
    <w:rsid w:val="00431D49"/>
    <w:rsid w:val="004654B3"/>
    <w:rsid w:val="00540FD5"/>
    <w:rsid w:val="005A0821"/>
    <w:rsid w:val="005A5F0D"/>
    <w:rsid w:val="005E65E0"/>
    <w:rsid w:val="00652BEE"/>
    <w:rsid w:val="0066059E"/>
    <w:rsid w:val="00691FE2"/>
    <w:rsid w:val="006C7F4C"/>
    <w:rsid w:val="006F221C"/>
    <w:rsid w:val="00761C79"/>
    <w:rsid w:val="0080260C"/>
    <w:rsid w:val="009F2AC2"/>
    <w:rsid w:val="00BE355F"/>
    <w:rsid w:val="00C00A59"/>
    <w:rsid w:val="00C37B9F"/>
    <w:rsid w:val="00C40729"/>
    <w:rsid w:val="00CD4AFD"/>
    <w:rsid w:val="00D33001"/>
    <w:rsid w:val="00D97E1A"/>
    <w:rsid w:val="00DD4896"/>
    <w:rsid w:val="00E8769C"/>
    <w:rsid w:val="00F55EBF"/>
    <w:rsid w:val="00FE4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8751"/>
  <w15:chartTrackingRefBased/>
  <w15:docId w15:val="{65DC31B8-DD3A-4CBA-8892-EFE30F42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7DE"/>
    <w:pPr>
      <w:spacing w:after="0" w:line="240" w:lineRule="auto"/>
    </w:pPr>
    <w:rPr>
      <w:rFonts w:ascii="Calibri" w:hAnsi="Calibri" w:cs="Calibri"/>
    </w:rPr>
  </w:style>
  <w:style w:type="paragraph" w:styleId="Heading4">
    <w:name w:val="heading 4"/>
    <w:basedOn w:val="Normal"/>
    <w:link w:val="Heading4Char"/>
    <w:uiPriority w:val="9"/>
    <w:qFormat/>
    <w:rsid w:val="005A0821"/>
    <w:pPr>
      <w:spacing w:before="100" w:beforeAutospacing="1" w:after="100" w:afterAutospacing="1"/>
      <w:outlineLvl w:val="3"/>
    </w:pPr>
    <w:rPr>
      <w:rFonts w:ascii="Times New Roman" w:eastAsia="Times New Roman" w:hAnsi="Times New Roman" w:cs="Times New Roman"/>
      <w:b/>
      <w:bCs/>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7DE"/>
    <w:rPr>
      <w:color w:val="0563C1"/>
      <w:u w:val="single"/>
    </w:rPr>
  </w:style>
  <w:style w:type="paragraph" w:styleId="ListParagraph">
    <w:name w:val="List Paragraph"/>
    <w:basedOn w:val="Normal"/>
    <w:uiPriority w:val="34"/>
    <w:qFormat/>
    <w:rsid w:val="002A77DE"/>
    <w:pPr>
      <w:spacing w:after="160" w:line="259" w:lineRule="auto"/>
      <w:ind w:left="720"/>
      <w:contextualSpacing/>
    </w:pPr>
    <w:rPr>
      <w:rFonts w:asciiTheme="minorHAnsi" w:hAnsiTheme="minorHAnsi" w:cstheme="minorBidi"/>
    </w:rPr>
  </w:style>
  <w:style w:type="paragraph" w:styleId="NormalWeb">
    <w:name w:val="Normal (Web)"/>
    <w:aliases w:val="webb"/>
    <w:basedOn w:val="Normal"/>
    <w:uiPriority w:val="34"/>
    <w:unhideWhenUsed/>
    <w:rsid w:val="005A0821"/>
    <w:pPr>
      <w:ind w:left="720"/>
    </w:pPr>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5A0821"/>
    <w:rPr>
      <w:sz w:val="16"/>
      <w:szCs w:val="16"/>
    </w:rPr>
  </w:style>
  <w:style w:type="paragraph" w:styleId="CommentText">
    <w:name w:val="annotation text"/>
    <w:basedOn w:val="Normal"/>
    <w:link w:val="CommentTextChar"/>
    <w:uiPriority w:val="99"/>
    <w:unhideWhenUsed/>
    <w:rsid w:val="005A0821"/>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5A0821"/>
    <w:rPr>
      <w:sz w:val="20"/>
      <w:szCs w:val="20"/>
    </w:rPr>
  </w:style>
  <w:style w:type="paragraph" w:styleId="BalloonText">
    <w:name w:val="Balloon Text"/>
    <w:basedOn w:val="Normal"/>
    <w:link w:val="BalloonTextChar"/>
    <w:uiPriority w:val="99"/>
    <w:semiHidden/>
    <w:unhideWhenUsed/>
    <w:rsid w:val="005A08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821"/>
    <w:rPr>
      <w:rFonts w:ascii="Segoe UI" w:hAnsi="Segoe UI" w:cs="Segoe UI"/>
      <w:sz w:val="18"/>
      <w:szCs w:val="18"/>
    </w:rPr>
  </w:style>
  <w:style w:type="character" w:styleId="FollowedHyperlink">
    <w:name w:val="FollowedHyperlink"/>
    <w:basedOn w:val="DefaultParagraphFont"/>
    <w:uiPriority w:val="99"/>
    <w:semiHidden/>
    <w:unhideWhenUsed/>
    <w:rsid w:val="005A0821"/>
    <w:rPr>
      <w:color w:val="954F72" w:themeColor="followedHyperlink"/>
      <w:u w:val="single"/>
    </w:rPr>
  </w:style>
  <w:style w:type="character" w:customStyle="1" w:styleId="Heading4Char">
    <w:name w:val="Heading 4 Char"/>
    <w:basedOn w:val="DefaultParagraphFont"/>
    <w:link w:val="Heading4"/>
    <w:uiPriority w:val="9"/>
    <w:rsid w:val="005A0821"/>
    <w:rPr>
      <w:rFonts w:ascii="Times New Roman" w:eastAsia="Times New Roman" w:hAnsi="Times New Roman" w:cs="Times New Roman"/>
      <w:b/>
      <w:bCs/>
      <w:sz w:val="24"/>
      <w:szCs w:val="24"/>
      <w:lang w:eastAsia="et-EE"/>
    </w:rPr>
  </w:style>
  <w:style w:type="character" w:styleId="Strong">
    <w:name w:val="Strong"/>
    <w:basedOn w:val="DefaultParagraphFont"/>
    <w:uiPriority w:val="22"/>
    <w:qFormat/>
    <w:rsid w:val="005A0821"/>
    <w:rPr>
      <w:b/>
      <w:bCs/>
    </w:rPr>
  </w:style>
  <w:style w:type="paragraph" w:styleId="CommentSubject">
    <w:name w:val="annotation subject"/>
    <w:basedOn w:val="CommentText"/>
    <w:next w:val="CommentText"/>
    <w:link w:val="CommentSubjectChar"/>
    <w:uiPriority w:val="99"/>
    <w:semiHidden/>
    <w:unhideWhenUsed/>
    <w:rsid w:val="00357609"/>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357609"/>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59379">
      <w:bodyDiv w:val="1"/>
      <w:marLeft w:val="0"/>
      <w:marRight w:val="0"/>
      <w:marTop w:val="0"/>
      <w:marBottom w:val="0"/>
      <w:divBdr>
        <w:top w:val="none" w:sz="0" w:space="0" w:color="auto"/>
        <w:left w:val="none" w:sz="0" w:space="0" w:color="auto"/>
        <w:bottom w:val="none" w:sz="0" w:space="0" w:color="auto"/>
        <w:right w:val="none" w:sz="0" w:space="0" w:color="auto"/>
      </w:divBdr>
    </w:div>
    <w:div w:id="133923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Kätrin Ringas</dc:creator>
  <cp:keywords/>
  <dc:description/>
  <cp:lastModifiedBy>Kätrin Ringas</cp:lastModifiedBy>
  <cp:revision>3</cp:revision>
  <dcterms:created xsi:type="dcterms:W3CDTF">2022-05-10T07:06:00Z</dcterms:created>
  <dcterms:modified xsi:type="dcterms:W3CDTF">2022-05-10T09:56:00Z</dcterms:modified>
</cp:coreProperties>
</file>