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5ED" w:rsidRPr="00D225ED" w:rsidRDefault="00D225ED" w:rsidP="00D225ED">
      <w:pPr>
        <w:jc w:val="both"/>
        <w:rPr>
          <w:sz w:val="32"/>
          <w:szCs w:val="32"/>
        </w:rPr>
      </w:pPr>
      <w:r w:rsidRPr="00D225ED">
        <w:rPr>
          <w:sz w:val="32"/>
          <w:szCs w:val="32"/>
        </w:rPr>
        <w:t>Ühise Kalanduspoliitika (ÜKP) eeskirjade täitmise tagamine</w:t>
      </w:r>
    </w:p>
    <w:p w:rsidR="00D225ED" w:rsidRDefault="00D225ED" w:rsidP="00D225ED">
      <w:pPr>
        <w:jc w:val="both"/>
      </w:pPr>
    </w:p>
    <w:p w:rsidR="00D225ED" w:rsidRDefault="00D225ED" w:rsidP="00D225ED">
      <w:pPr>
        <w:jc w:val="both"/>
      </w:pPr>
    </w:p>
    <w:p w:rsidR="00A55BD2" w:rsidRDefault="00D225ED" w:rsidP="00A55BD2">
      <w:pPr>
        <w:spacing w:line="276" w:lineRule="auto"/>
        <w:jc w:val="both"/>
      </w:pPr>
      <w:r>
        <w:t xml:space="preserve">Kalandusturu korraldamise seaduse § 27 lg 2 p 7 kohaselt ei tohi taotleja ja ka toetuse saaja olla toime pannud Euroopa Parlamendi ja nõukogu määruse (EL) nr 508/2014 artikli 10 lõigetes 1 ja 3 </w:t>
      </w:r>
      <w:r w:rsidR="00A55BD2">
        <w:t xml:space="preserve">nimetatud rikkumist. PRIA teostab Ühise Kalanduspoliitika (ÜKP) reeglite rikkumise kontrolle enne toetuse määramist, väljamaksetaotluste kontrollide ja järelkontrollide käigus. Kontrolli aluseks on Karistusregistris olevad andmed. </w:t>
      </w:r>
    </w:p>
    <w:p w:rsidR="001815B4" w:rsidRDefault="001815B4" w:rsidP="00A55BD2">
      <w:pPr>
        <w:spacing w:line="276" w:lineRule="auto"/>
        <w:jc w:val="both"/>
      </w:pPr>
    </w:p>
    <w:p w:rsidR="00A55BD2" w:rsidRDefault="001815B4" w:rsidP="00A55BD2">
      <w:pPr>
        <w:spacing w:line="276" w:lineRule="auto"/>
        <w:jc w:val="both"/>
      </w:pPr>
      <w:r w:rsidRPr="001815B4">
        <w:t>Komisjoni delegeeritud määruse (EL) nr 2015/288 artikli 3 kohaselt võetakse vastuvõetamatuse ajavahemiku arvutamiseks arvesse üksnes alates 1. jaanuarist 2013 toime pandud rikkumisi.</w:t>
      </w:r>
    </w:p>
    <w:p w:rsidR="00D404DC" w:rsidRDefault="00D404DC" w:rsidP="00A55BD2">
      <w:pPr>
        <w:spacing w:line="276" w:lineRule="auto"/>
        <w:jc w:val="both"/>
      </w:pPr>
    </w:p>
    <w:p w:rsidR="00D404DC" w:rsidRPr="00D404DC" w:rsidRDefault="003D2508" w:rsidP="00A55BD2">
      <w:pPr>
        <w:spacing w:line="276" w:lineRule="auto"/>
        <w:jc w:val="both"/>
        <w:rPr>
          <w:b/>
        </w:rPr>
      </w:pPr>
      <w:r>
        <w:rPr>
          <w:b/>
        </w:rPr>
        <w:t>Eeskirjad ja rikkumised</w:t>
      </w:r>
    </w:p>
    <w:p w:rsidR="001815B4" w:rsidRDefault="001815B4" w:rsidP="00A55BD2">
      <w:pPr>
        <w:spacing w:line="276" w:lineRule="auto"/>
        <w:jc w:val="both"/>
      </w:pPr>
    </w:p>
    <w:p w:rsidR="00D225ED" w:rsidRPr="00A55BD2" w:rsidRDefault="00A55BD2" w:rsidP="00D225ED">
      <w:pPr>
        <w:spacing w:line="276" w:lineRule="auto"/>
        <w:jc w:val="both"/>
        <w:rPr>
          <w:u w:val="single"/>
        </w:rPr>
      </w:pPr>
      <w:r w:rsidRPr="00A55BD2">
        <w:rPr>
          <w:u w:val="single"/>
        </w:rPr>
        <w:t>Määruse nr 508/2014 art 10 lg 1</w:t>
      </w:r>
    </w:p>
    <w:p w:rsidR="00A55BD2" w:rsidRDefault="00A55BD2" w:rsidP="00D225ED">
      <w:pPr>
        <w:spacing w:line="276" w:lineRule="auto"/>
        <w:jc w:val="both"/>
      </w:pPr>
    </w:p>
    <w:p w:rsidR="00671965" w:rsidRDefault="00A55BD2" w:rsidP="00D225ED">
      <w:pPr>
        <w:jc w:val="both"/>
      </w:pPr>
      <w:r>
        <w:t xml:space="preserve">Punkt a: tõsine õigusrikkumine nõukogu määruse (EÜ) nr 1005/2008 artikli 42 või määruse (EÜ) nr 1224/2009 artikli 90 lõike 1 kohaselt. </w:t>
      </w:r>
    </w:p>
    <w:p w:rsidR="00671965" w:rsidRDefault="00671965" w:rsidP="00D225ED">
      <w:pPr>
        <w:jc w:val="both"/>
      </w:pPr>
    </w:p>
    <w:p w:rsidR="00A55BD2" w:rsidRDefault="00A55BD2" w:rsidP="00D225ED">
      <w:pPr>
        <w:jc w:val="both"/>
      </w:pPr>
      <w:r>
        <w:t xml:space="preserve">Rikkumistele vastavad sanktsioonid on </w:t>
      </w:r>
      <w:r w:rsidR="00671965">
        <w:t xml:space="preserve">kaetud üldjoontes järgmist </w:t>
      </w:r>
      <w:r>
        <w:t>üldjoontes kaetud kalapüügiseaduse §-</w:t>
      </w:r>
      <w:proofErr w:type="spellStart"/>
      <w:r>
        <w:t>dega</w:t>
      </w:r>
      <w:proofErr w:type="spellEnd"/>
      <w:r w:rsidR="00671965">
        <w:t>:</w:t>
      </w:r>
      <w:r>
        <w:t xml:space="preserve"> 71, 74, 75, 76, 77, 78, 79, 80, 81, 82, 83, 84, 85, 86, 87 ja 88. Rikkumine tuleb lugeda tõsiseks, kui Keskkonnainspektsioon on sanktsiooni juures viidanud ka kalapüügiseaduse § 71 lg 1. </w:t>
      </w:r>
    </w:p>
    <w:p w:rsidR="00A55BD2" w:rsidRDefault="00A55BD2" w:rsidP="00D225ED">
      <w:pPr>
        <w:jc w:val="both"/>
      </w:pPr>
    </w:p>
    <w:p w:rsidR="00A55BD2" w:rsidRDefault="00A55BD2" w:rsidP="00D225ED">
      <w:pPr>
        <w:jc w:val="both"/>
      </w:pPr>
      <w:r>
        <w:t xml:space="preserve">Punkt b: taotleja on seotud selliste laevadega, mis on kantud ebaseadusliku, teatamata ja reguleerimata kalapüügiga tegelevate laevade liidu nimekirja (vt määruse nr 1005/2008 art 40 lg 3) või selliste riikide lipu all sõitvate laevadega, mis on arvatud koostööd mittetegevate kolmandate riikide hulka (vt määruse nr 1005/2008 art 33). Kalapüügiseaduse § 10 lg 10 ja lg 11. </w:t>
      </w:r>
    </w:p>
    <w:p w:rsidR="00A55BD2" w:rsidRDefault="00A55BD2" w:rsidP="00D225ED">
      <w:pPr>
        <w:jc w:val="both"/>
      </w:pPr>
    </w:p>
    <w:p w:rsidR="00A55BD2" w:rsidRDefault="00A55BD2" w:rsidP="00D225ED">
      <w:pPr>
        <w:jc w:val="both"/>
      </w:pPr>
      <w:r>
        <w:t xml:space="preserve">Punkt c: taotleja on toime pannud ÜKP õigusnormide tõsise rikkumise. Määruse nr 1224/2009 art 4 p 2 „ühise kalanduspoliitika eeskirjad” – ühenduse õigusaktid vee-elusressursside kaitse, majandamise ja kasutamise, vesiviljeluse ning kalandus- ja vesiviljelustoodete töötlemise, transpordi ja turustamise kohta. Rikkumisi menetleb Keskkonnainspektsioon kalapüügiseaduse alusel ja võimalikud sanktsioonid on kaetud kalapüügiseaduse §-dega 71, 74, 75, 76, 77, 78, 79, 80, 81, 82, 83, 84, 85, 86, 87 ja 88. </w:t>
      </w:r>
    </w:p>
    <w:p w:rsidR="00A55BD2" w:rsidRDefault="00A55BD2" w:rsidP="00D225ED">
      <w:pPr>
        <w:jc w:val="both"/>
      </w:pPr>
    </w:p>
    <w:p w:rsidR="009C3982" w:rsidRDefault="00A55BD2" w:rsidP="00D225ED">
      <w:pPr>
        <w:jc w:val="both"/>
      </w:pPr>
      <w:r>
        <w:t>Punkt d: taotleja on toime pannud keskkonnaalase kuriteo (vt direktiivi 2008/99/EÜ artiklid 3 ja 4), rikkumisi tuleb kontrollida üksnes vesiviljeluse säästva arenguga seotud taotluste puhul (määruse nr 508/2014 V jaotis II peatükk). Keskkonnakuriteod on kaetud karistusseadustiku 20 peatükis (§ 352 - § 370), eelkõige kalapüügiga rohkem seotud kuriteod §-s 361.</w:t>
      </w:r>
    </w:p>
    <w:p w:rsidR="009C3982" w:rsidRDefault="009C3982" w:rsidP="00D225ED">
      <w:pPr>
        <w:jc w:val="both"/>
      </w:pPr>
    </w:p>
    <w:p w:rsidR="009C3982" w:rsidRDefault="009C3982" w:rsidP="00D225ED">
      <w:pPr>
        <w:jc w:val="both"/>
        <w:rPr>
          <w:b/>
        </w:rPr>
      </w:pPr>
      <w:r w:rsidRPr="009C3982">
        <w:rPr>
          <w:b/>
        </w:rPr>
        <w:t>Määruse nr 508/2014 artikli 10 lõike 2 kohaselt on toetuse saajal kohustus täita artikli 10 lõike 1 punktides a-d osutatud tingimusi ka pärast taotluse esitamist ning kogu toimingu teostamise aja jooksul ja viie aasta jooksul pärast nimetatud toetuse saajale viimase makse tegemist.</w:t>
      </w:r>
    </w:p>
    <w:p w:rsidR="009C3982" w:rsidRDefault="009C3982" w:rsidP="00D225ED">
      <w:pPr>
        <w:jc w:val="both"/>
        <w:rPr>
          <w:b/>
        </w:rPr>
      </w:pPr>
    </w:p>
    <w:p w:rsidR="009C3982" w:rsidRDefault="009C3982" w:rsidP="00D225ED">
      <w:pPr>
        <w:jc w:val="both"/>
        <w:rPr>
          <w:b/>
        </w:rPr>
      </w:pPr>
    </w:p>
    <w:p w:rsidR="009C3982" w:rsidRDefault="009C3982" w:rsidP="00D225ED">
      <w:pPr>
        <w:jc w:val="both"/>
        <w:rPr>
          <w:b/>
        </w:rPr>
      </w:pPr>
    </w:p>
    <w:p w:rsidR="009C3982" w:rsidRPr="009C3982" w:rsidRDefault="009C3982" w:rsidP="00D225ED">
      <w:pPr>
        <w:jc w:val="both"/>
        <w:rPr>
          <w:b/>
        </w:rPr>
      </w:pPr>
    </w:p>
    <w:p w:rsidR="00D225ED" w:rsidRDefault="00D225ED" w:rsidP="00D225ED">
      <w:pPr>
        <w:jc w:val="both"/>
      </w:pPr>
    </w:p>
    <w:p w:rsidR="00A55BD2" w:rsidRPr="00A55BD2" w:rsidRDefault="00A55BD2" w:rsidP="00D225ED">
      <w:pPr>
        <w:jc w:val="both"/>
        <w:rPr>
          <w:u w:val="single"/>
        </w:rPr>
      </w:pPr>
      <w:r w:rsidRPr="00A55BD2">
        <w:rPr>
          <w:u w:val="single"/>
        </w:rPr>
        <w:lastRenderedPageBreak/>
        <w:t>Määruse nr 508/2014 art 10 lg 3</w:t>
      </w:r>
    </w:p>
    <w:p w:rsidR="00A55BD2" w:rsidRDefault="00A55BD2" w:rsidP="00D225ED">
      <w:pPr>
        <w:jc w:val="both"/>
      </w:pPr>
    </w:p>
    <w:p w:rsidR="00A55BD2" w:rsidRDefault="00A55BD2" w:rsidP="00D225ED">
      <w:pPr>
        <w:jc w:val="both"/>
      </w:pPr>
      <w:r w:rsidRPr="00A55BD2">
        <w:t xml:space="preserve">Taotleja on EKF või EMKF raames toime pannud pettuse (vt Euroopa ühenduste finantshuvide kaitse konventsioon art 1 </w:t>
      </w:r>
      <w:hyperlink r:id="rId5" w:history="1">
        <w:r w:rsidRPr="00232BF0">
          <w:rPr>
            <w:rStyle w:val="Hyperlink"/>
          </w:rPr>
          <w:t>https://www.riigiteataja.ee/akt/836512</w:t>
        </w:r>
      </w:hyperlink>
      <w:r w:rsidRPr="00A55BD2">
        <w:t>).</w:t>
      </w:r>
      <w:r>
        <w:t xml:space="preserve"> </w:t>
      </w:r>
      <w:r w:rsidRPr="00A55BD2">
        <w:t>Karistusseadustiku § 210 – soodustuskelmus</w:t>
      </w:r>
      <w:r>
        <w:t xml:space="preserve">. </w:t>
      </w:r>
    </w:p>
    <w:p w:rsidR="00AD0C04" w:rsidRDefault="00AD0C04" w:rsidP="00A55BD2">
      <w:pPr>
        <w:jc w:val="both"/>
      </w:pPr>
    </w:p>
    <w:p w:rsidR="00A3398C" w:rsidRDefault="00A3398C" w:rsidP="00934814">
      <w:pPr>
        <w:jc w:val="both"/>
      </w:pPr>
    </w:p>
    <w:p w:rsidR="00934814" w:rsidRPr="00934814" w:rsidRDefault="00934814" w:rsidP="00934814">
      <w:pPr>
        <w:jc w:val="both"/>
        <w:rPr>
          <w:b/>
          <w:bCs/>
        </w:rPr>
      </w:pPr>
      <w:r w:rsidRPr="00934814">
        <w:rPr>
          <w:b/>
          <w:bCs/>
        </w:rPr>
        <w:t>Toetuse ja abi tagasinõudmine</w:t>
      </w:r>
    </w:p>
    <w:p w:rsidR="00934814" w:rsidRDefault="00934814" w:rsidP="00934814">
      <w:pPr>
        <w:jc w:val="both"/>
      </w:pPr>
    </w:p>
    <w:p w:rsidR="00934814" w:rsidRDefault="00934814" w:rsidP="00934814">
      <w:pPr>
        <w:jc w:val="both"/>
      </w:pPr>
      <w:r>
        <w:t>Kala</w:t>
      </w:r>
      <w:r w:rsidR="00D404DC">
        <w:t>ndusturu k</w:t>
      </w:r>
      <w:r>
        <w:t xml:space="preserve">orraldamise seaduse </w:t>
      </w:r>
      <w:r w:rsidRPr="00934814">
        <w:t>§ 53</w:t>
      </w:r>
      <w:r>
        <w:t xml:space="preserve"> sätestab, et k</w:t>
      </w:r>
      <w:r w:rsidRPr="00934814">
        <w:t>ui pärast fondi toetuse väljamaksmist selgub, et toetus on eeskirjade eiramise tõttu makstud alusetult, sealhulgas kui seda ei ole kasutatud sihipäraselt, nõutakse toetus toetuse saajalt osaliselt või täielikult tagasi Euroopa Parlamendi ja nõukogu määrustes (EL) nr 1303/2013 ja (EL) nr 508/2014 ning teistes Euroopa Liidu asjakohastes määrustes sätestatud alustel ja tähtaegadel.</w:t>
      </w:r>
      <w:r>
        <w:t xml:space="preserve"> </w:t>
      </w:r>
      <w:r w:rsidRPr="00934814">
        <w:t xml:space="preserve">Fondi toetuse, kalamajandusliku riigiabi, kalamajandusliku vähese tähtsusega abi ja muu kalamajandusliku abi tagasinõudmise otsuse teeb PRIA, kui </w:t>
      </w:r>
      <w:r w:rsidR="00D404DC">
        <w:t>samas</w:t>
      </w:r>
      <w:r w:rsidRPr="00934814">
        <w:t xml:space="preserve"> paragrahvis ei ole sätestatud teisiti.</w:t>
      </w:r>
    </w:p>
    <w:p w:rsidR="00934814" w:rsidRDefault="00934814" w:rsidP="00934814">
      <w:pPr>
        <w:jc w:val="both"/>
      </w:pPr>
    </w:p>
    <w:p w:rsidR="00934814" w:rsidRPr="00934814" w:rsidRDefault="00934814" w:rsidP="00934814">
      <w:pPr>
        <w:jc w:val="both"/>
      </w:pPr>
    </w:p>
    <w:p w:rsidR="00A1379F" w:rsidRPr="00C974D6" w:rsidRDefault="00A1379F" w:rsidP="00A55BD2">
      <w:pPr>
        <w:jc w:val="both"/>
        <w:rPr>
          <w:b/>
        </w:rPr>
      </w:pPr>
      <w:r>
        <w:rPr>
          <w:b/>
        </w:rPr>
        <w:t xml:space="preserve">Eeskirjade rikkumised </w:t>
      </w:r>
      <w:r w:rsidR="00F01503">
        <w:rPr>
          <w:b/>
        </w:rPr>
        <w:t>ja r</w:t>
      </w:r>
      <w:r w:rsidR="009C3982">
        <w:rPr>
          <w:b/>
        </w:rPr>
        <w:t>akendunud sank</w:t>
      </w:r>
      <w:r w:rsidR="00F01503">
        <w:rPr>
          <w:b/>
        </w:rPr>
        <w:t>tsioon</w:t>
      </w:r>
      <w:r>
        <w:rPr>
          <w:b/>
        </w:rPr>
        <w:t>id</w:t>
      </w:r>
    </w:p>
    <w:p w:rsidR="00A1379F" w:rsidRDefault="00A1379F" w:rsidP="00E87086">
      <w:pPr>
        <w:jc w:val="both"/>
      </w:pPr>
    </w:p>
    <w:tbl>
      <w:tblPr>
        <w:tblStyle w:val="TableGrid"/>
        <w:tblW w:w="0" w:type="auto"/>
        <w:tblLook w:val="04A0" w:firstRow="1" w:lastRow="0" w:firstColumn="1" w:lastColumn="0" w:noHBand="0" w:noVBand="1"/>
      </w:tblPr>
      <w:tblGrid>
        <w:gridCol w:w="3005"/>
        <w:gridCol w:w="3005"/>
        <w:gridCol w:w="3006"/>
      </w:tblGrid>
      <w:tr w:rsidR="006460C6" w:rsidTr="006460C6">
        <w:tc>
          <w:tcPr>
            <w:tcW w:w="3005" w:type="dxa"/>
          </w:tcPr>
          <w:p w:rsidR="006460C6" w:rsidRDefault="006460C6" w:rsidP="00E87086">
            <w:pPr>
              <w:jc w:val="both"/>
            </w:pPr>
            <w:r>
              <w:t>Rikkumine</w:t>
            </w:r>
          </w:p>
        </w:tc>
        <w:tc>
          <w:tcPr>
            <w:tcW w:w="3005" w:type="dxa"/>
          </w:tcPr>
          <w:p w:rsidR="006460C6" w:rsidRDefault="006460C6" w:rsidP="00E87086">
            <w:pPr>
              <w:jc w:val="both"/>
            </w:pPr>
            <w:r>
              <w:t>Sanktsioon</w:t>
            </w:r>
          </w:p>
        </w:tc>
        <w:tc>
          <w:tcPr>
            <w:tcW w:w="3006" w:type="dxa"/>
          </w:tcPr>
          <w:p w:rsidR="006460C6" w:rsidRDefault="001107B5" w:rsidP="00E87086">
            <w:pPr>
              <w:jc w:val="both"/>
            </w:pPr>
            <w:r>
              <w:t>Arv (seisuga 21.10.2021</w:t>
            </w:r>
            <w:r w:rsidR="006460C6">
              <w:t>)</w:t>
            </w:r>
          </w:p>
        </w:tc>
      </w:tr>
      <w:tr w:rsidR="006460C6" w:rsidTr="006460C6">
        <w:tc>
          <w:tcPr>
            <w:tcW w:w="3005" w:type="dxa"/>
          </w:tcPr>
          <w:p w:rsidR="006460C6" w:rsidRDefault="006460C6" w:rsidP="006460C6">
            <w:pPr>
              <w:jc w:val="both"/>
            </w:pPr>
            <w:r>
              <w:t>Taotleja sai</w:t>
            </w:r>
            <w:r w:rsidR="001107B5">
              <w:t xml:space="preserve"> meetmes „</w:t>
            </w:r>
            <w:r w:rsidR="001107B5" w:rsidRPr="001107B5">
              <w:t>Püügivahendi parendamise toetus</w:t>
            </w:r>
            <w:r w:rsidR="001107B5">
              <w:t>“</w:t>
            </w:r>
            <w:r>
              <w:t xml:space="preserve"> pärast toetustaotluse rahuldamise otsust projekti elluviimise ajal kehtiva karistuse kalapüügiseaduse (KPS) § 85 lõike 1 alusel: k</w:t>
            </w:r>
            <w:r w:rsidRPr="00671965">
              <w:t xml:space="preserve">alapüük ja veekogus kala püügijärgne hoidmine keelatud ajal ja alal ning püüda keelatud kalaliigi isendite ja </w:t>
            </w:r>
            <w:proofErr w:type="spellStart"/>
            <w:r w:rsidRPr="00671965">
              <w:t>alamõõdulise</w:t>
            </w:r>
            <w:proofErr w:type="spellEnd"/>
            <w:r w:rsidRPr="00671965">
              <w:t xml:space="preserve"> kala püük</w:t>
            </w:r>
            <w:r>
              <w:t>.</w:t>
            </w:r>
          </w:p>
          <w:p w:rsidR="006460C6" w:rsidRDefault="006460C6" w:rsidP="006460C6">
            <w:pPr>
              <w:jc w:val="both"/>
            </w:pPr>
          </w:p>
          <w:p w:rsidR="006460C6" w:rsidRDefault="006460C6" w:rsidP="006460C6">
            <w:pPr>
              <w:jc w:val="both"/>
            </w:pPr>
          </w:p>
        </w:tc>
        <w:tc>
          <w:tcPr>
            <w:tcW w:w="3005" w:type="dxa"/>
          </w:tcPr>
          <w:p w:rsidR="006460C6" w:rsidRPr="006460C6" w:rsidRDefault="006460C6" w:rsidP="006460C6">
            <w:pPr>
              <w:jc w:val="both"/>
            </w:pPr>
            <w:r w:rsidRPr="006460C6">
              <w:t>Maksetaotluse menetlemisel kontrolli</w:t>
            </w:r>
            <w:r>
              <w:t>s</w:t>
            </w:r>
            <w:r w:rsidRPr="006460C6">
              <w:t xml:space="preserve"> PRIA karistusregistri andmeid ning tuvasta</w:t>
            </w:r>
            <w:r>
              <w:t>s</w:t>
            </w:r>
            <w:r w:rsidRPr="006460C6">
              <w:t xml:space="preserve"> rikkumise. Päring Ke</w:t>
            </w:r>
            <w:r>
              <w:t>skkonnainspektsioonile täpsustas</w:t>
            </w:r>
            <w:r w:rsidRPr="006460C6">
              <w:t>, et taotleja on toime pannud kalapü</w:t>
            </w:r>
            <w:bookmarkStart w:id="0" w:name="_GoBack"/>
            <w:bookmarkEnd w:id="0"/>
            <w:r w:rsidRPr="006460C6">
              <w:t xml:space="preserve">ügiseaduse (KPS) § 71 lõike 1 punktis 1 viidatu kohaselt kalapüüginõuete tõsise rikkumise, mis on nõukogu määruse nr 1005/2008 artikli 42 või määruse nr 1224/2009 artikli 90 lõike 1 kohaselt tõsine õigusrikkumine. </w:t>
            </w:r>
          </w:p>
          <w:p w:rsidR="006460C6" w:rsidRPr="006460C6" w:rsidRDefault="006460C6" w:rsidP="006460C6">
            <w:pPr>
              <w:jc w:val="both"/>
            </w:pPr>
          </w:p>
          <w:p w:rsidR="006460C6" w:rsidRPr="006460C6" w:rsidRDefault="006460C6" w:rsidP="006460C6">
            <w:pPr>
              <w:jc w:val="both"/>
            </w:pPr>
            <w:r w:rsidRPr="006460C6">
              <w:t>KTKS § 33 lõike 4 kohaselt tehakse toetuse maksmisest keeldumise otsus, kui pärast taotluse rahuldamist, kuid enne toetuse maksmist tehakse kindlaks taotluse rahuldamata jätmise alused või kui toetuse saaja ei ole täitnud toetuse saaja kohu</w:t>
            </w:r>
            <w:r>
              <w:t>stusi. Eelnevale tuginedes jättis</w:t>
            </w:r>
            <w:r w:rsidRPr="006460C6">
              <w:t xml:space="preserve"> PRIA maksetaotluses esitatud summas toetuse välja maksmata, kuna toetuse saaja ei ole täinud KTKS § 31 lõike 3 </w:t>
            </w:r>
            <w:r w:rsidRPr="006460C6">
              <w:lastRenderedPageBreak/>
              <w:t>punktis 2 ja § 27 lõike 2 punktis 7 sätestatud kohustust mitte toime panna tõsiseid rikkumisi.</w:t>
            </w:r>
          </w:p>
          <w:p w:rsidR="006460C6" w:rsidRDefault="006460C6" w:rsidP="00E87086">
            <w:pPr>
              <w:jc w:val="both"/>
            </w:pPr>
          </w:p>
        </w:tc>
        <w:tc>
          <w:tcPr>
            <w:tcW w:w="3006" w:type="dxa"/>
          </w:tcPr>
          <w:p w:rsidR="006460C6" w:rsidRDefault="006460C6" w:rsidP="00E87086">
            <w:pPr>
              <w:jc w:val="both"/>
            </w:pPr>
            <w:r>
              <w:lastRenderedPageBreak/>
              <w:t>1</w:t>
            </w:r>
          </w:p>
        </w:tc>
      </w:tr>
    </w:tbl>
    <w:p w:rsidR="009C3982" w:rsidRDefault="009C3982" w:rsidP="00E87086">
      <w:pPr>
        <w:jc w:val="both"/>
      </w:pPr>
    </w:p>
    <w:p w:rsidR="009C3982" w:rsidRDefault="009C3982" w:rsidP="00E87086">
      <w:pPr>
        <w:jc w:val="both"/>
      </w:pPr>
    </w:p>
    <w:sectPr w:rsidR="009C39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97077"/>
    <w:multiLevelType w:val="hybridMultilevel"/>
    <w:tmpl w:val="9BAE06B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5ED"/>
    <w:rsid w:val="00037DEB"/>
    <w:rsid w:val="00061A6F"/>
    <w:rsid w:val="00074220"/>
    <w:rsid w:val="001107B5"/>
    <w:rsid w:val="00164F71"/>
    <w:rsid w:val="001815B4"/>
    <w:rsid w:val="00241EE6"/>
    <w:rsid w:val="00315F8C"/>
    <w:rsid w:val="003D2508"/>
    <w:rsid w:val="00497705"/>
    <w:rsid w:val="00534B02"/>
    <w:rsid w:val="005B711D"/>
    <w:rsid w:val="005B780E"/>
    <w:rsid w:val="005E0669"/>
    <w:rsid w:val="005E5830"/>
    <w:rsid w:val="005E78C3"/>
    <w:rsid w:val="006460C6"/>
    <w:rsid w:val="00671965"/>
    <w:rsid w:val="007622E4"/>
    <w:rsid w:val="00934814"/>
    <w:rsid w:val="009C3982"/>
    <w:rsid w:val="00A1379F"/>
    <w:rsid w:val="00A3398C"/>
    <w:rsid w:val="00A55087"/>
    <w:rsid w:val="00A55BD2"/>
    <w:rsid w:val="00AD0C04"/>
    <w:rsid w:val="00C974D6"/>
    <w:rsid w:val="00CD78FA"/>
    <w:rsid w:val="00D225ED"/>
    <w:rsid w:val="00D404DC"/>
    <w:rsid w:val="00E43E9E"/>
    <w:rsid w:val="00E87086"/>
    <w:rsid w:val="00F01503"/>
    <w:rsid w:val="00F36C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6F161-DFFA-4957-BED4-30D78A0B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5E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5ED"/>
    <w:pPr>
      <w:ind w:left="720"/>
    </w:pPr>
  </w:style>
  <w:style w:type="character" w:styleId="Hyperlink">
    <w:name w:val="Hyperlink"/>
    <w:basedOn w:val="DefaultParagraphFont"/>
    <w:uiPriority w:val="99"/>
    <w:unhideWhenUsed/>
    <w:rsid w:val="00A55BD2"/>
    <w:rPr>
      <w:color w:val="0563C1" w:themeColor="hyperlink"/>
      <w:u w:val="single"/>
    </w:rPr>
  </w:style>
  <w:style w:type="table" w:styleId="TableGrid">
    <w:name w:val="Table Grid"/>
    <w:basedOn w:val="TableNormal"/>
    <w:uiPriority w:val="39"/>
    <w:rsid w:val="00646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435725">
      <w:bodyDiv w:val="1"/>
      <w:marLeft w:val="0"/>
      <w:marRight w:val="0"/>
      <w:marTop w:val="0"/>
      <w:marBottom w:val="0"/>
      <w:divBdr>
        <w:top w:val="none" w:sz="0" w:space="0" w:color="auto"/>
        <w:left w:val="none" w:sz="0" w:space="0" w:color="auto"/>
        <w:bottom w:val="none" w:sz="0" w:space="0" w:color="auto"/>
        <w:right w:val="none" w:sz="0" w:space="0" w:color="auto"/>
      </w:divBdr>
    </w:div>
    <w:div w:id="786237715">
      <w:bodyDiv w:val="1"/>
      <w:marLeft w:val="0"/>
      <w:marRight w:val="0"/>
      <w:marTop w:val="0"/>
      <w:marBottom w:val="0"/>
      <w:divBdr>
        <w:top w:val="none" w:sz="0" w:space="0" w:color="auto"/>
        <w:left w:val="none" w:sz="0" w:space="0" w:color="auto"/>
        <w:bottom w:val="none" w:sz="0" w:space="0" w:color="auto"/>
        <w:right w:val="none" w:sz="0" w:space="0" w:color="auto"/>
      </w:divBdr>
    </w:div>
    <w:div w:id="1741823589">
      <w:bodyDiv w:val="1"/>
      <w:marLeft w:val="0"/>
      <w:marRight w:val="0"/>
      <w:marTop w:val="0"/>
      <w:marBottom w:val="0"/>
      <w:divBdr>
        <w:top w:val="none" w:sz="0" w:space="0" w:color="auto"/>
        <w:left w:val="none" w:sz="0" w:space="0" w:color="auto"/>
        <w:bottom w:val="none" w:sz="0" w:space="0" w:color="auto"/>
        <w:right w:val="none" w:sz="0" w:space="0" w:color="auto"/>
      </w:divBdr>
    </w:div>
    <w:div w:id="1755739185">
      <w:bodyDiv w:val="1"/>
      <w:marLeft w:val="0"/>
      <w:marRight w:val="0"/>
      <w:marTop w:val="0"/>
      <w:marBottom w:val="0"/>
      <w:divBdr>
        <w:top w:val="none" w:sz="0" w:space="0" w:color="auto"/>
        <w:left w:val="none" w:sz="0" w:space="0" w:color="auto"/>
        <w:bottom w:val="none" w:sz="0" w:space="0" w:color="auto"/>
        <w:right w:val="none" w:sz="0" w:space="0" w:color="auto"/>
      </w:divBdr>
    </w:div>
    <w:div w:id="195710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iigiteataja.ee/akt/8365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3</Pages>
  <Words>725</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Piret Ilves</dc:creator>
  <cp:keywords/>
  <dc:description/>
  <cp:lastModifiedBy>Henari Kamenik</cp:lastModifiedBy>
  <cp:revision>27</cp:revision>
  <dcterms:created xsi:type="dcterms:W3CDTF">2021-02-09T07:44:00Z</dcterms:created>
  <dcterms:modified xsi:type="dcterms:W3CDTF">2021-10-21T07:03:00Z</dcterms:modified>
</cp:coreProperties>
</file>