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5962B9AB" w:rsidR="00B55E41" w:rsidRPr="008C67A7" w:rsidRDefault="003F6533" w:rsidP="00B55E41">
            <w:pPr>
              <w:rPr>
                <w:b/>
              </w:rPr>
            </w:pPr>
            <w:r>
              <w:rPr>
                <w:b/>
              </w:rPr>
              <w:t>Anneli Tulk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2" w14:textId="57109AA9" w:rsidR="00674FB5" w:rsidRDefault="00635795" w:rsidP="00036F05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2596BB65" w:rsidR="00C72638" w:rsidRPr="00D80B02" w:rsidRDefault="00036F0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1C074B9C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3F6533">
              <w:t>, EMKF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9"/>
      </w:tblGrid>
      <w:tr w:rsidR="00674FB5" w:rsidRPr="008C67A7" w14:paraId="088A4AF4" w14:textId="77777777" w:rsidTr="001F0A25">
        <w:tc>
          <w:tcPr>
            <w:tcW w:w="8669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 xml:space="preserve">käesolevast ametijuhendist, tööga seotud õigusaktidest, </w:t>
            </w:r>
            <w:bookmarkStart w:id="0" w:name="_GoBack"/>
            <w:bookmarkEnd w:id="0"/>
            <w:r w:rsidRPr="00D80B02">
              <w:rPr>
                <w:noProof/>
              </w:rPr>
              <w:t>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0A26731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F6533">
              <w:t xml:space="preserve">Kuressaare </w:t>
            </w:r>
            <w:r w:rsidR="00E67684">
              <w:t>büroos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6520D0C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34CB4772" w14:textId="77777777" w:rsidR="00680ECA" w:rsidRDefault="00680ECA">
            <w:pPr>
              <w:jc w:val="both"/>
            </w:pPr>
          </w:p>
          <w:p w14:paraId="088A4B0A" w14:textId="1FC7D1B0" w:rsidR="00680ECA" w:rsidRPr="008C67A7" w:rsidRDefault="00680ECA">
            <w:pPr>
              <w:jc w:val="both"/>
            </w:pPr>
            <w:r w:rsidRPr="00680ECA">
              <w:t>Tööülesanded võivad tingida töötamist puuginakkusohtlikus keskkonnas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3785375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</w:t>
      </w:r>
      <w:r w:rsidR="00680ECA">
        <w:rPr>
          <w:b/>
          <w:bCs/>
        </w:rPr>
        <w:t>2</w:t>
      </w:r>
      <w:r w:rsidRPr="00E73193">
        <w:rPr>
          <w:b/>
          <w:bCs/>
        </w:rPr>
        <w:t>.20</w:t>
      </w:r>
      <w:r w:rsidR="00680ECA">
        <w:rPr>
          <w:b/>
          <w:bCs/>
        </w:rPr>
        <w:t>21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C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2672EBD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3F6533">
        <w:t>Anneli Tulk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5756" w14:textId="77777777" w:rsidR="00E10000" w:rsidRDefault="00E10000">
      <w:r>
        <w:separator/>
      </w:r>
    </w:p>
  </w:endnote>
  <w:endnote w:type="continuationSeparator" w:id="0">
    <w:p w14:paraId="2EE1FBB8" w14:textId="77777777" w:rsidR="00E10000" w:rsidRDefault="00E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D9496" w14:textId="77777777" w:rsidR="00E10000" w:rsidRDefault="00E10000">
      <w:r>
        <w:separator/>
      </w:r>
    </w:p>
  </w:footnote>
  <w:footnote w:type="continuationSeparator" w:id="0">
    <w:p w14:paraId="56141405" w14:textId="77777777" w:rsidR="00E10000" w:rsidRDefault="00E1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DA25ED" w14:textId="18714A4E" w:rsidR="002134E2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2E5DCF7A" w14:textId="5FED36E3" w:rsidR="003F6533" w:rsidRDefault="003F6533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Anneli Tulk</w:t>
    </w: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36F05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1F0A25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1790"/>
    <w:rsid w:val="00374FF9"/>
    <w:rsid w:val="003A1C7D"/>
    <w:rsid w:val="003A76C7"/>
    <w:rsid w:val="003B3AF7"/>
    <w:rsid w:val="003D2C81"/>
    <w:rsid w:val="003E182F"/>
    <w:rsid w:val="003E32E8"/>
    <w:rsid w:val="003F6533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347F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0ECA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0100F"/>
    <w:rsid w:val="00E1000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61DD-95B0-4F23-A29D-C262976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Anneli Tulk</vt:lpstr>
    </vt:vector>
  </TitlesOfParts>
  <Company>PRIA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Anneli Tulk</dc:title>
  <dc:creator>Marina Sultanjants</dc:creator>
  <cp:lastModifiedBy>Tiiu Klement</cp:lastModifiedBy>
  <cp:revision>2</cp:revision>
  <cp:lastPrinted>2008-01-02T07:27:00Z</cp:lastPrinted>
  <dcterms:created xsi:type="dcterms:W3CDTF">2021-02-17T14:28:00Z</dcterms:created>
  <dcterms:modified xsi:type="dcterms:W3CDTF">2021-02-17T14:28:00Z</dcterms:modified>
</cp:coreProperties>
</file>