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40" w:rsidRPr="006834D0" w:rsidRDefault="001662DF">
      <w:pPr>
        <w:rPr>
          <w:rFonts w:ascii="Times New Roman" w:hAnsi="Times New Roman" w:cs="Times New Roman"/>
          <w:b/>
          <w:sz w:val="26"/>
          <w:szCs w:val="26"/>
        </w:rPr>
      </w:pPr>
      <w:bookmarkStart w:id="0" w:name="_GoBack"/>
      <w:bookmarkEnd w:id="0"/>
      <w:r w:rsidRPr="006834D0">
        <w:rPr>
          <w:rFonts w:ascii="Times New Roman" w:hAnsi="Times New Roman" w:cs="Times New Roman"/>
          <w:b/>
          <w:sz w:val="26"/>
          <w:szCs w:val="26"/>
        </w:rPr>
        <w:t>Poolloodusliku koosluse hooldamise toetuse koolituse nõude hindamismaatriks</w:t>
      </w:r>
    </w:p>
    <w:p w:rsidR="001662DF" w:rsidRPr="00A003C1" w:rsidRDefault="001662DF" w:rsidP="001662DF">
      <w:pPr>
        <w:pStyle w:val="BodyText"/>
        <w:ind w:right="567"/>
        <w:jc w:val="both"/>
        <w:rPr>
          <w:lang w:val="et-EE"/>
        </w:rPr>
      </w:pPr>
      <w:r w:rsidRPr="00A003C1">
        <w:rPr>
          <w:lang w:val="et-EE"/>
        </w:rPr>
        <w:t>Koolituse nõude rikkumist hinnatakse kolmest aspektist lähtuvalt:</w:t>
      </w:r>
    </w:p>
    <w:p w:rsidR="001662DF" w:rsidRPr="00A003C1" w:rsidRDefault="001662DF" w:rsidP="001662DF">
      <w:pPr>
        <w:pStyle w:val="BodyText"/>
        <w:ind w:right="567"/>
        <w:jc w:val="both"/>
        <w:rPr>
          <w:lang w:val="et-EE"/>
        </w:rPr>
      </w:pPr>
    </w:p>
    <w:p w:rsidR="001662DF" w:rsidRPr="00A003C1" w:rsidRDefault="001662DF" w:rsidP="001662DF">
      <w:pPr>
        <w:pStyle w:val="BodyText"/>
        <w:numPr>
          <w:ilvl w:val="0"/>
          <w:numId w:val="1"/>
        </w:numPr>
        <w:ind w:right="567"/>
        <w:jc w:val="both"/>
        <w:rPr>
          <w:lang w:val="et-EE"/>
        </w:rPr>
      </w:pPr>
      <w:r w:rsidRPr="00A003C1">
        <w:rPr>
          <w:b/>
          <w:lang w:val="et-EE"/>
        </w:rPr>
        <w:t>Raskus</w:t>
      </w:r>
      <w:r w:rsidRPr="00A003C1">
        <w:rPr>
          <w:lang w:val="et-EE"/>
        </w:rPr>
        <w:t xml:space="preserve"> sõltub eelkõige selle tagajärgede olulisusest. Määratakse koefitsiendiga, mis annab rikkumisele kaalu sõltuvalt tagajärgede mõjust nõude</w:t>
      </w:r>
      <w:r w:rsidRPr="00A003C1">
        <w:rPr>
          <w:spacing w:val="-13"/>
          <w:lang w:val="et-EE"/>
        </w:rPr>
        <w:t xml:space="preserve"> </w:t>
      </w:r>
      <w:r w:rsidRPr="00A003C1">
        <w:rPr>
          <w:lang w:val="et-EE"/>
        </w:rPr>
        <w:t>eesmärgile.</w:t>
      </w:r>
    </w:p>
    <w:p w:rsidR="001662DF" w:rsidRPr="00A003C1" w:rsidRDefault="001662DF" w:rsidP="001662DF">
      <w:pPr>
        <w:pStyle w:val="BodyText"/>
        <w:ind w:left="720" w:right="567"/>
        <w:jc w:val="both"/>
        <w:rPr>
          <w:lang w:val="et-EE"/>
        </w:rPr>
      </w:pPr>
      <w:r w:rsidRPr="00A003C1">
        <w:rPr>
          <w:lang w:val="et-EE"/>
        </w:rPr>
        <w:t>Koefitsient „</w:t>
      </w:r>
      <w:r w:rsidRPr="00A003C1">
        <w:rPr>
          <w:b/>
          <w:lang w:val="et-EE"/>
        </w:rPr>
        <w:t>1</w:t>
      </w:r>
      <w:r w:rsidRPr="00A003C1">
        <w:rPr>
          <w:lang w:val="et-EE"/>
        </w:rPr>
        <w:t>“ mõju nõude eesmärgile vähene.</w:t>
      </w:r>
    </w:p>
    <w:p w:rsidR="001662DF" w:rsidRPr="00A003C1" w:rsidRDefault="001662DF" w:rsidP="001662DF">
      <w:pPr>
        <w:pStyle w:val="BodyText"/>
        <w:ind w:left="720" w:right="567"/>
        <w:jc w:val="both"/>
        <w:rPr>
          <w:lang w:val="et-EE"/>
        </w:rPr>
      </w:pPr>
      <w:r w:rsidRPr="00A003C1">
        <w:rPr>
          <w:lang w:val="et-EE"/>
        </w:rPr>
        <w:t>Koefitsient „</w:t>
      </w:r>
      <w:r w:rsidRPr="00A003C1">
        <w:rPr>
          <w:b/>
          <w:lang w:val="et-EE"/>
        </w:rPr>
        <w:t>2</w:t>
      </w:r>
      <w:r w:rsidRPr="00A003C1">
        <w:rPr>
          <w:lang w:val="et-EE"/>
        </w:rPr>
        <w:t>“ mõju nõude eesmärgile oluline.</w:t>
      </w:r>
    </w:p>
    <w:p w:rsidR="001662DF" w:rsidRPr="00A003C1" w:rsidRDefault="001662DF" w:rsidP="001662DF">
      <w:pPr>
        <w:pStyle w:val="BodyText"/>
        <w:ind w:right="567"/>
        <w:jc w:val="both"/>
        <w:rPr>
          <w:lang w:val="et-EE"/>
        </w:rPr>
      </w:pPr>
    </w:p>
    <w:p w:rsidR="001662DF" w:rsidRPr="00A003C1" w:rsidRDefault="001662DF" w:rsidP="001662DF">
      <w:pPr>
        <w:pStyle w:val="BodyText"/>
        <w:numPr>
          <w:ilvl w:val="0"/>
          <w:numId w:val="1"/>
        </w:numPr>
        <w:ind w:right="567"/>
        <w:jc w:val="both"/>
        <w:rPr>
          <w:lang w:val="et-EE"/>
        </w:rPr>
      </w:pPr>
      <w:r w:rsidRPr="00A003C1">
        <w:rPr>
          <w:b/>
          <w:lang w:val="et-EE"/>
        </w:rPr>
        <w:t>Ulatus</w:t>
      </w:r>
      <w:r w:rsidRPr="00A003C1">
        <w:rPr>
          <w:lang w:val="et-EE"/>
        </w:rPr>
        <w:t xml:space="preserve"> sõltub eelkõige selle mõjust kogu tegevusele. Koolituse nõude hindamisel on ulatus „</w:t>
      </w:r>
      <w:r w:rsidRPr="00A003C1">
        <w:rPr>
          <w:b/>
          <w:lang w:val="et-EE"/>
        </w:rPr>
        <w:t>1%</w:t>
      </w:r>
      <w:r w:rsidRPr="00A003C1">
        <w:rPr>
          <w:lang w:val="et-EE"/>
        </w:rPr>
        <w:t>“.</w:t>
      </w:r>
    </w:p>
    <w:p w:rsidR="001662DF" w:rsidRPr="00A003C1" w:rsidRDefault="001662DF" w:rsidP="001662DF">
      <w:pPr>
        <w:pStyle w:val="BodyText"/>
        <w:ind w:left="720" w:right="567"/>
        <w:jc w:val="both"/>
        <w:rPr>
          <w:lang w:val="et-EE"/>
        </w:rPr>
      </w:pPr>
    </w:p>
    <w:p w:rsidR="001662DF" w:rsidRPr="00A003C1" w:rsidRDefault="001662DF" w:rsidP="001662DF">
      <w:pPr>
        <w:pStyle w:val="BodyText"/>
        <w:numPr>
          <w:ilvl w:val="0"/>
          <w:numId w:val="1"/>
        </w:numPr>
        <w:ind w:right="567"/>
        <w:jc w:val="both"/>
        <w:rPr>
          <w:lang w:val="et-EE"/>
        </w:rPr>
      </w:pPr>
      <w:r w:rsidRPr="00A003C1">
        <w:rPr>
          <w:b/>
          <w:lang w:val="et-EE"/>
        </w:rPr>
        <w:t xml:space="preserve">Kestus </w:t>
      </w:r>
      <w:r w:rsidRPr="00A003C1">
        <w:rPr>
          <w:lang w:val="et-EE"/>
        </w:rPr>
        <w:t>sõltub eelkõige selle mõju ajalisest ulatusest või sellest, kas seda mõju on võimalik mõistlike vahenditega lõpetada. Määratakse koefitsiendiga, mis annab rikkumisele kaalu sõltuvalt mõju kestvusest ja mõju lõpetamisest.</w:t>
      </w:r>
    </w:p>
    <w:p w:rsidR="001662DF" w:rsidRPr="00A003C1" w:rsidRDefault="001662DF" w:rsidP="001662DF">
      <w:pPr>
        <w:pStyle w:val="BodyText"/>
        <w:ind w:left="720" w:right="567"/>
        <w:jc w:val="both"/>
        <w:rPr>
          <w:lang w:val="et-EE"/>
        </w:rPr>
      </w:pPr>
      <w:r w:rsidRPr="00A003C1">
        <w:rPr>
          <w:lang w:val="et-EE"/>
        </w:rPr>
        <w:t>Koefitsient „</w:t>
      </w:r>
      <w:r w:rsidRPr="00A003C1">
        <w:rPr>
          <w:b/>
          <w:lang w:val="et-EE"/>
        </w:rPr>
        <w:t>1</w:t>
      </w:r>
      <w:r w:rsidRPr="00A003C1">
        <w:rPr>
          <w:lang w:val="et-EE"/>
        </w:rPr>
        <w:t>“ mõju kergesti eemaldatav või lühiajaline.</w:t>
      </w:r>
    </w:p>
    <w:p w:rsidR="001662DF" w:rsidRPr="00A003C1" w:rsidRDefault="001662DF" w:rsidP="001662DF">
      <w:pPr>
        <w:pStyle w:val="BodyText"/>
        <w:ind w:left="720" w:right="567"/>
        <w:jc w:val="both"/>
        <w:rPr>
          <w:lang w:val="et-EE"/>
        </w:rPr>
      </w:pPr>
      <w:r w:rsidRPr="00A003C1">
        <w:rPr>
          <w:lang w:val="et-EE"/>
        </w:rPr>
        <w:t>Koefitsient „</w:t>
      </w:r>
      <w:r w:rsidRPr="00A003C1">
        <w:rPr>
          <w:b/>
          <w:lang w:val="et-EE"/>
        </w:rPr>
        <w:t>3</w:t>
      </w:r>
      <w:r w:rsidRPr="00A003C1">
        <w:rPr>
          <w:lang w:val="et-EE"/>
        </w:rPr>
        <w:t>“ mõju raskesti eemaldatav või pikaajaline.</w:t>
      </w:r>
    </w:p>
    <w:p w:rsidR="001662DF" w:rsidRPr="00A003C1" w:rsidRDefault="001662DF" w:rsidP="001662DF">
      <w:pPr>
        <w:pStyle w:val="BodyText"/>
        <w:ind w:right="567"/>
        <w:jc w:val="both"/>
        <w:rPr>
          <w:lang w:val="et-EE"/>
        </w:rPr>
      </w:pPr>
    </w:p>
    <w:p w:rsidR="001662DF" w:rsidRPr="00A003C1" w:rsidRDefault="001662DF" w:rsidP="001662DF">
      <w:pPr>
        <w:pStyle w:val="BodyText"/>
        <w:ind w:right="567"/>
        <w:jc w:val="both"/>
        <w:rPr>
          <w:lang w:val="et-EE"/>
        </w:rPr>
      </w:pPr>
      <w:r w:rsidRPr="00A003C1">
        <w:rPr>
          <w:b/>
          <w:lang w:val="et-EE"/>
        </w:rPr>
        <w:t>Taotleja või tema esindaja, kes tegeleb poolloodusliku koosluse hooldamisega, peab osalema Keskkonnaameti korraldatud poolloodusliku koosluse hooldamise koolitusel, mis tutvustab arengukava nõudeid. Koolitus peab olema läbitud hiljemalt esimese kohustuseaasta 20. juuniks (2020. aastal hiljemalt 30. novembriks).</w:t>
      </w:r>
      <w:r w:rsidRPr="00A003C1">
        <w:rPr>
          <w:lang w:val="et-EE"/>
        </w:rPr>
        <w:t xml:space="preserve"> Arvesse lähevad alates 2015. aastast läbitud koolitused.</w:t>
      </w:r>
    </w:p>
    <w:p w:rsidR="00A003C1" w:rsidRDefault="00A003C1" w:rsidP="001662DF">
      <w:pPr>
        <w:pStyle w:val="BodyText"/>
        <w:ind w:right="567"/>
        <w:jc w:val="both"/>
        <w:rPr>
          <w:lang w:val="et-EE"/>
        </w:rPr>
      </w:pPr>
    </w:p>
    <w:p w:rsidR="001662DF" w:rsidRDefault="001662DF" w:rsidP="001662DF">
      <w:pPr>
        <w:pStyle w:val="BodyText"/>
        <w:ind w:right="567"/>
        <w:jc w:val="both"/>
        <w:rPr>
          <w:lang w:val="et-EE"/>
        </w:rPr>
      </w:pPr>
      <w:r w:rsidRPr="00A003C1">
        <w:rPr>
          <w:lang w:val="et-EE"/>
        </w:rPr>
        <w:t>Kui kohustuse ülevõtjal puudub kohustus, peab kohustuse ülevõtja või tema esindaja, kes tegeleb taotleja poolloodusliku koosluse hooldamisega, hiljemalt kohustuse ülevõtmise aasta 20. juuniks (2020. aastal 30. novembriks) olema osalenud poolloodusliku koosluse hooldamise koolitusel.</w:t>
      </w:r>
    </w:p>
    <w:p w:rsidR="00A003C1" w:rsidRPr="00A003C1" w:rsidRDefault="00A003C1" w:rsidP="001662DF">
      <w:pPr>
        <w:pStyle w:val="BodyText"/>
        <w:ind w:right="567"/>
        <w:jc w:val="both"/>
        <w:rPr>
          <w:lang w:val="et-EE"/>
        </w:rPr>
      </w:pPr>
    </w:p>
    <w:tbl>
      <w:tblPr>
        <w:tblStyle w:val="TableGrid"/>
        <w:tblW w:w="0" w:type="auto"/>
        <w:tblLook w:val="04A0" w:firstRow="1" w:lastRow="0" w:firstColumn="1" w:lastColumn="0" w:noHBand="0" w:noVBand="1"/>
      </w:tblPr>
      <w:tblGrid>
        <w:gridCol w:w="1730"/>
        <w:gridCol w:w="3085"/>
        <w:gridCol w:w="3685"/>
      </w:tblGrid>
      <w:tr w:rsidR="001662DF" w:rsidRPr="00A003C1" w:rsidTr="0098523E">
        <w:tc>
          <w:tcPr>
            <w:tcW w:w="1730" w:type="dxa"/>
          </w:tcPr>
          <w:p w:rsidR="001662DF" w:rsidRPr="00A003C1" w:rsidRDefault="001662DF" w:rsidP="0098523E">
            <w:pPr>
              <w:pStyle w:val="BodyText"/>
              <w:ind w:right="567"/>
              <w:jc w:val="both"/>
              <w:rPr>
                <w:lang w:val="et-EE"/>
              </w:rPr>
            </w:pPr>
            <w:r w:rsidRPr="00A003C1">
              <w:rPr>
                <w:lang w:val="et-EE"/>
              </w:rPr>
              <w:lastRenderedPageBreak/>
              <w:t>RASKUS</w:t>
            </w:r>
          </w:p>
        </w:tc>
        <w:tc>
          <w:tcPr>
            <w:tcW w:w="3085" w:type="dxa"/>
          </w:tcPr>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Taotleja on läbinud koolituse tähtajast kuni 1 kuu hiljem</w:t>
            </w:r>
          </w:p>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Koef. 1</w:t>
            </w:r>
          </w:p>
        </w:tc>
        <w:tc>
          <w:tcPr>
            <w:tcW w:w="3685" w:type="dxa"/>
          </w:tcPr>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Taotleja ei ole alates 2015. aastast koolit</w:t>
            </w:r>
            <w:r w:rsidR="00A003C1">
              <w:rPr>
                <w:rFonts w:ascii="Times New Roman" w:hAnsi="Times New Roman" w:cs="Times New Roman"/>
                <w:sz w:val="24"/>
                <w:szCs w:val="24"/>
                <w:lang w:val="et-EE"/>
              </w:rPr>
              <w:t>ustel osalenud või on koolitus</w:t>
            </w:r>
            <w:r w:rsidRPr="00A003C1">
              <w:rPr>
                <w:rFonts w:ascii="Times New Roman" w:hAnsi="Times New Roman" w:cs="Times New Roman"/>
                <w:sz w:val="24"/>
                <w:szCs w:val="24"/>
                <w:lang w:val="et-EE"/>
              </w:rPr>
              <w:t xml:space="preserve"> läbitud etteantud tähtajast hiljem kui 1 kuu jooksul</w:t>
            </w:r>
          </w:p>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Koef. 2</w:t>
            </w:r>
          </w:p>
        </w:tc>
      </w:tr>
      <w:tr w:rsidR="001662DF" w:rsidRPr="00A003C1" w:rsidTr="0098523E">
        <w:tc>
          <w:tcPr>
            <w:tcW w:w="1730" w:type="dxa"/>
          </w:tcPr>
          <w:p w:rsidR="001662DF" w:rsidRPr="00A003C1" w:rsidRDefault="001662DF" w:rsidP="0098523E">
            <w:pPr>
              <w:pStyle w:val="BodyText"/>
              <w:ind w:right="567"/>
              <w:jc w:val="both"/>
              <w:rPr>
                <w:lang w:val="et-EE"/>
              </w:rPr>
            </w:pPr>
            <w:r w:rsidRPr="00A003C1">
              <w:rPr>
                <w:lang w:val="et-EE"/>
              </w:rPr>
              <w:t>ULATUS</w:t>
            </w:r>
          </w:p>
        </w:tc>
        <w:tc>
          <w:tcPr>
            <w:tcW w:w="6770" w:type="dxa"/>
            <w:gridSpan w:val="2"/>
          </w:tcPr>
          <w:p w:rsidR="001662DF" w:rsidRPr="00A003C1" w:rsidRDefault="001662DF" w:rsidP="0098523E">
            <w:pPr>
              <w:pStyle w:val="BodyText"/>
              <w:ind w:right="567"/>
              <w:jc w:val="both"/>
              <w:rPr>
                <w:lang w:val="et-EE"/>
              </w:rPr>
            </w:pPr>
            <w:r w:rsidRPr="00A003C1">
              <w:rPr>
                <w:lang w:val="et-EE"/>
              </w:rPr>
              <w:t>Taotleja ei ole läbinud nõutud koolitust etteantud tähtaja jooksul (1%)</w:t>
            </w:r>
          </w:p>
        </w:tc>
      </w:tr>
      <w:tr w:rsidR="001662DF" w:rsidRPr="00A003C1" w:rsidTr="0098523E">
        <w:tc>
          <w:tcPr>
            <w:tcW w:w="1730" w:type="dxa"/>
          </w:tcPr>
          <w:p w:rsidR="001662DF" w:rsidRPr="00A003C1" w:rsidRDefault="001662DF" w:rsidP="0098523E">
            <w:pPr>
              <w:pStyle w:val="BodyText"/>
              <w:ind w:right="567"/>
              <w:jc w:val="both"/>
              <w:rPr>
                <w:lang w:val="et-EE"/>
              </w:rPr>
            </w:pPr>
            <w:r w:rsidRPr="00A003C1">
              <w:rPr>
                <w:lang w:val="et-EE"/>
              </w:rPr>
              <w:t>KESTUS</w:t>
            </w:r>
          </w:p>
        </w:tc>
        <w:tc>
          <w:tcPr>
            <w:tcW w:w="3085" w:type="dxa"/>
          </w:tcPr>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Taotleja on läbinud koolituse tähtajast kuni 1 kuu hiljem</w:t>
            </w:r>
          </w:p>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Koef. 1</w:t>
            </w:r>
          </w:p>
        </w:tc>
        <w:tc>
          <w:tcPr>
            <w:tcW w:w="3685" w:type="dxa"/>
          </w:tcPr>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Taotleja ei ole alates 2015. aastast koolit</w:t>
            </w:r>
            <w:r w:rsidR="00A003C1">
              <w:rPr>
                <w:rFonts w:ascii="Times New Roman" w:hAnsi="Times New Roman" w:cs="Times New Roman"/>
                <w:sz w:val="24"/>
                <w:szCs w:val="24"/>
                <w:lang w:val="et-EE"/>
              </w:rPr>
              <w:t>ustel osalenud või on koolitus</w:t>
            </w:r>
            <w:r w:rsidRPr="00A003C1">
              <w:rPr>
                <w:rFonts w:ascii="Times New Roman" w:hAnsi="Times New Roman" w:cs="Times New Roman"/>
                <w:sz w:val="24"/>
                <w:szCs w:val="24"/>
                <w:lang w:val="et-EE"/>
              </w:rPr>
              <w:t xml:space="preserve"> läbitud etteantud tähtajast hiljem kui 1 kuu jooksul</w:t>
            </w:r>
          </w:p>
          <w:p w:rsidR="001662DF" w:rsidRPr="00A003C1" w:rsidRDefault="001662DF" w:rsidP="0098523E">
            <w:pPr>
              <w:rPr>
                <w:rFonts w:ascii="Times New Roman" w:hAnsi="Times New Roman" w:cs="Times New Roman"/>
                <w:sz w:val="24"/>
                <w:szCs w:val="24"/>
                <w:lang w:val="et-EE"/>
              </w:rPr>
            </w:pPr>
            <w:r w:rsidRPr="00A003C1">
              <w:rPr>
                <w:rFonts w:ascii="Times New Roman" w:hAnsi="Times New Roman" w:cs="Times New Roman"/>
                <w:sz w:val="24"/>
                <w:szCs w:val="24"/>
                <w:lang w:val="et-EE"/>
              </w:rPr>
              <w:t>Koef. 3</w:t>
            </w:r>
          </w:p>
        </w:tc>
      </w:tr>
    </w:tbl>
    <w:p w:rsidR="001662DF" w:rsidRPr="00A003C1" w:rsidRDefault="001662DF" w:rsidP="001662DF">
      <w:pPr>
        <w:pStyle w:val="BodyText"/>
        <w:ind w:right="567"/>
        <w:jc w:val="both"/>
        <w:rPr>
          <w:b/>
          <w:i/>
          <w:lang w:val="et-EE"/>
        </w:rPr>
      </w:pPr>
      <w:r w:rsidRPr="00A003C1">
        <w:rPr>
          <w:b/>
          <w:i/>
          <w:lang w:val="et-EE"/>
        </w:rPr>
        <w:t>Maksimaalne vähendamine nõude rikkumisel on 6% toetussummast.</w:t>
      </w:r>
    </w:p>
    <w:p w:rsidR="001662DF" w:rsidRPr="00A003C1" w:rsidRDefault="001662DF" w:rsidP="001662DF">
      <w:pPr>
        <w:pStyle w:val="BodyText"/>
        <w:ind w:right="567"/>
        <w:jc w:val="both"/>
        <w:rPr>
          <w:lang w:val="et-EE"/>
        </w:rPr>
      </w:pPr>
    </w:p>
    <w:p w:rsidR="001662DF" w:rsidRPr="001662DF" w:rsidRDefault="001662DF" w:rsidP="001662DF">
      <w:pPr>
        <w:pStyle w:val="BodyText"/>
        <w:ind w:right="567"/>
        <w:jc w:val="both"/>
        <w:rPr>
          <w:lang w:val="et-EE"/>
        </w:rPr>
      </w:pPr>
      <w:r w:rsidRPr="00A003C1">
        <w:rPr>
          <w:u w:val="single"/>
          <w:lang w:val="et-EE"/>
        </w:rPr>
        <w:t>Toetussumma vähendamine:</w:t>
      </w:r>
      <w:r w:rsidRPr="00A003C1">
        <w:rPr>
          <w:lang w:val="et-EE"/>
        </w:rPr>
        <w:t xml:space="preserve"> ulatuse % x raskuse koef x kestuse koef.</w:t>
      </w:r>
    </w:p>
    <w:p w:rsidR="001662DF" w:rsidRPr="001662DF" w:rsidRDefault="001662DF">
      <w:pPr>
        <w:rPr>
          <w:rFonts w:ascii="Times New Roman" w:hAnsi="Times New Roman" w:cs="Times New Roman"/>
          <w:sz w:val="24"/>
          <w:szCs w:val="24"/>
        </w:rPr>
      </w:pPr>
    </w:p>
    <w:sectPr w:rsidR="001662DF" w:rsidRPr="00166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A11E4"/>
    <w:multiLevelType w:val="hybridMultilevel"/>
    <w:tmpl w:val="2EF02004"/>
    <w:lvl w:ilvl="0" w:tplc="A9EA0D08">
      <w:start w:val="1"/>
      <w:numFmt w:val="lowerLetter"/>
      <w:lvlText w:val="%1)"/>
      <w:lvlJc w:val="left"/>
      <w:pPr>
        <w:ind w:left="720" w:hanging="360"/>
      </w:pPr>
      <w:rPr>
        <w:rFonts w:ascii="Times New Roman" w:eastAsia="Times New Roman" w:hAnsi="Times New Roman" w:cs="Times New Roman" w:hint="default"/>
        <w:b/>
        <w:spacing w:val="-1"/>
        <w:w w:val="99"/>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DF"/>
    <w:rsid w:val="001662DF"/>
    <w:rsid w:val="00464040"/>
    <w:rsid w:val="006834D0"/>
    <w:rsid w:val="00A003C1"/>
    <w:rsid w:val="00CE16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69608-9323-4F6E-81C7-B5790586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62D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662DF"/>
    <w:rPr>
      <w:rFonts w:ascii="Times New Roman" w:eastAsia="Times New Roman" w:hAnsi="Times New Roman" w:cs="Times New Roman"/>
      <w:sz w:val="24"/>
      <w:szCs w:val="24"/>
      <w:lang w:val="en-US"/>
    </w:rPr>
  </w:style>
  <w:style w:type="table" w:styleId="TableGrid">
    <w:name w:val="Table Grid"/>
    <w:basedOn w:val="TableNormal"/>
    <w:uiPriority w:val="39"/>
    <w:rsid w:val="001662D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 Toom</dc:creator>
  <cp:keywords/>
  <dc:description/>
  <cp:lastModifiedBy>Mari Riisenberg</cp:lastModifiedBy>
  <cp:revision>2</cp:revision>
  <dcterms:created xsi:type="dcterms:W3CDTF">2020-06-29T07:21:00Z</dcterms:created>
  <dcterms:modified xsi:type="dcterms:W3CDTF">2020-06-29T07:21:00Z</dcterms:modified>
</cp:coreProperties>
</file>