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DAD0" w14:textId="77777777" w:rsidR="00E11F85" w:rsidRDefault="00E11F85" w:rsidP="00324615">
      <w:pPr>
        <w:spacing w:after="0"/>
        <w:rPr>
          <w:b/>
          <w:sz w:val="28"/>
          <w:szCs w:val="28"/>
        </w:rPr>
      </w:pPr>
    </w:p>
    <w:p w14:paraId="0EDE3985" w14:textId="77777777" w:rsidR="00142C25" w:rsidRDefault="00142C25" w:rsidP="00324615">
      <w:pPr>
        <w:spacing w:after="0"/>
        <w:rPr>
          <w:b/>
          <w:sz w:val="28"/>
          <w:szCs w:val="28"/>
        </w:rPr>
      </w:pPr>
    </w:p>
    <w:p w14:paraId="75E0A981" w14:textId="40C634A3" w:rsidR="007C1223" w:rsidRDefault="001B1D3E" w:rsidP="0032461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Põllumajandustootja asendamise toetuse </w:t>
      </w:r>
      <w:r w:rsidR="00853B24">
        <w:rPr>
          <w:b/>
          <w:sz w:val="28"/>
          <w:szCs w:val="28"/>
        </w:rPr>
        <w:t xml:space="preserve">taotluse </w:t>
      </w:r>
      <w:r w:rsidR="007C1223" w:rsidRPr="007C1223">
        <w:rPr>
          <w:b/>
          <w:sz w:val="28"/>
          <w:szCs w:val="28"/>
        </w:rPr>
        <w:t xml:space="preserve">esitamine </w:t>
      </w:r>
      <w:r w:rsidR="009A7060">
        <w:rPr>
          <w:b/>
          <w:sz w:val="28"/>
          <w:szCs w:val="28"/>
        </w:rPr>
        <w:t xml:space="preserve">portaalis </w:t>
      </w:r>
      <w:r w:rsidR="00B72B0A">
        <w:rPr>
          <w:b/>
          <w:sz w:val="28"/>
          <w:szCs w:val="28"/>
        </w:rPr>
        <w:t>e-PRIA</w:t>
      </w:r>
    </w:p>
    <w:p w14:paraId="5DF45B6C" w14:textId="3DA81D54" w:rsidR="00E11F85" w:rsidRDefault="00E11F85" w:rsidP="009326EF">
      <w:pPr>
        <w:jc w:val="both"/>
        <w:rPr>
          <w:b/>
        </w:rPr>
      </w:pPr>
    </w:p>
    <w:p w14:paraId="4439C87A" w14:textId="47BAA262" w:rsidR="0004591A" w:rsidRPr="0004591A" w:rsidRDefault="0004591A" w:rsidP="009326EF">
      <w:pPr>
        <w:jc w:val="both"/>
        <w:rPr>
          <w:b/>
        </w:rPr>
      </w:pPr>
      <w:r w:rsidRPr="0004591A">
        <w:rPr>
          <w:b/>
        </w:rPr>
        <w:t>Portaali sisenemine</w:t>
      </w:r>
    </w:p>
    <w:p w14:paraId="77CCC4FC" w14:textId="2DACB849" w:rsidR="000B1023" w:rsidRDefault="001B1D3E" w:rsidP="009326EF">
      <w:pPr>
        <w:jc w:val="both"/>
        <w:rPr>
          <w:i/>
        </w:rPr>
      </w:pPr>
      <w:r>
        <w:t>Taotlust</w:t>
      </w:r>
      <w:r w:rsidR="0065507E">
        <w:t xml:space="preserve"> saate esitada</w:t>
      </w:r>
      <w:r w:rsidR="009714DB">
        <w:t xml:space="preserve"> </w:t>
      </w:r>
      <w:r w:rsidR="0065507E">
        <w:t>PRIA iseteeninduskeskkonnas</w:t>
      </w:r>
      <w:r w:rsidR="006A5A4D">
        <w:t xml:space="preserve">. </w:t>
      </w:r>
      <w:bookmarkStart w:id="0" w:name="_GoBack"/>
      <w:bookmarkEnd w:id="0"/>
      <w:r w:rsidR="00274083">
        <w:t>A</w:t>
      </w:r>
      <w:r w:rsidR="006637AF">
        <w:t xml:space="preserve">vanenud leheküljel klõpsake </w:t>
      </w:r>
      <w:r w:rsidR="00414EAF">
        <w:rPr>
          <w:i/>
        </w:rPr>
        <w:t xml:space="preserve">Sisene PRIA </w:t>
      </w:r>
      <w:r w:rsidR="00274083" w:rsidRPr="00274083">
        <w:rPr>
          <w:i/>
        </w:rPr>
        <w:t>iseteeninduskeskkonda!</w:t>
      </w:r>
    </w:p>
    <w:p w14:paraId="7C96834B" w14:textId="126291E3" w:rsidR="00414EAF" w:rsidRDefault="00414EAF" w:rsidP="009326EF">
      <w:pPr>
        <w:jc w:val="both"/>
        <w:rPr>
          <w:i/>
        </w:rPr>
      </w:pPr>
      <w:r>
        <w:rPr>
          <w:i/>
          <w:noProof/>
          <w:lang w:eastAsia="et-EE"/>
        </w:rPr>
        <w:drawing>
          <wp:inline distT="0" distB="0" distL="0" distR="0" wp14:anchorId="2B138747" wp14:editId="6185B3FC">
            <wp:extent cx="5829300" cy="3263900"/>
            <wp:effectExtent l="76200" t="19050" r="76200" b="1270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639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E7E6E6">
                          <a:lumMod val="90000"/>
                          <a:alpha val="67000"/>
                        </a:srgb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6D5741" w14:textId="77777777" w:rsidR="00414EAF" w:rsidRDefault="00414EAF" w:rsidP="00414EAF">
      <w:pPr>
        <w:spacing w:after="120"/>
        <w:jc w:val="both"/>
        <w:rPr>
          <w:b/>
          <w:sz w:val="28"/>
          <w:szCs w:val="28"/>
        </w:rPr>
      </w:pPr>
    </w:p>
    <w:p w14:paraId="787973CE" w14:textId="48A5D34A" w:rsidR="00414EAF" w:rsidRPr="00E11F85" w:rsidRDefault="00106FE2" w:rsidP="00414EAF">
      <w:pPr>
        <w:spacing w:after="120"/>
        <w:jc w:val="both"/>
        <w:rPr>
          <w:b/>
        </w:rPr>
      </w:pPr>
      <w:r>
        <w:rPr>
          <w:b/>
        </w:rPr>
        <w:t>Põllumajandustootja asendamise toetuse taotluse esitamine</w:t>
      </w:r>
    </w:p>
    <w:p w14:paraId="280A521F" w14:textId="77777777" w:rsidR="00106FE2" w:rsidRDefault="00106FE2" w:rsidP="00106FE2">
      <w:pPr>
        <w:pStyle w:val="ListParagraph"/>
        <w:spacing w:after="120"/>
        <w:ind w:left="0"/>
      </w:pPr>
      <w:r w:rsidRPr="007C1223">
        <w:t xml:space="preserve">Kui olete </w:t>
      </w:r>
      <w:r>
        <w:t>e-PRIA keskkonda sisse loginud</w:t>
      </w:r>
      <w:r w:rsidRPr="007C1223">
        <w:t xml:space="preserve">, valige </w:t>
      </w:r>
      <w:r>
        <w:t>pea</w:t>
      </w:r>
      <w:r w:rsidRPr="007C1223">
        <w:t xml:space="preserve">menüüst </w:t>
      </w:r>
      <w:r>
        <w:rPr>
          <w:i/>
        </w:rPr>
        <w:t>Taotlemine</w:t>
      </w:r>
      <w:r w:rsidRPr="00930297">
        <w:t>.</w:t>
      </w:r>
    </w:p>
    <w:p w14:paraId="2EFD24C3" w14:textId="77777777" w:rsidR="00106FE2" w:rsidRDefault="00106FE2" w:rsidP="00106FE2">
      <w:pPr>
        <w:pStyle w:val="ListParagraph"/>
        <w:spacing w:after="120"/>
        <w:ind w:left="0"/>
      </w:pPr>
    </w:p>
    <w:p w14:paraId="40781AD7" w14:textId="77777777" w:rsidR="00106FE2" w:rsidRDefault="00106FE2" w:rsidP="00106FE2">
      <w:pPr>
        <w:pStyle w:val="ListParagraph"/>
        <w:spacing w:after="120"/>
        <w:ind w:left="0"/>
      </w:pPr>
      <w:r>
        <w:rPr>
          <w:noProof/>
          <w:lang w:eastAsia="et-EE"/>
        </w:rPr>
        <w:drawing>
          <wp:inline distT="0" distB="0" distL="0" distR="0" wp14:anchorId="770E6CF5" wp14:editId="7F76F873">
            <wp:extent cx="5829300" cy="1009650"/>
            <wp:effectExtent l="76200" t="19050" r="76200" b="133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096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AAA8751" w14:textId="77777777" w:rsidR="00106FE2" w:rsidRDefault="00106FE2" w:rsidP="00106FE2">
      <w:pPr>
        <w:pStyle w:val="ListParagraph"/>
        <w:spacing w:after="120"/>
        <w:ind w:left="0"/>
      </w:pPr>
    </w:p>
    <w:p w14:paraId="00D30AA8" w14:textId="77777777" w:rsidR="00106FE2" w:rsidRDefault="00106FE2" w:rsidP="00106FE2">
      <w:pPr>
        <w:pStyle w:val="ListParagraph"/>
        <w:spacing w:after="0"/>
        <w:ind w:left="0"/>
        <w:jc w:val="both"/>
        <w:rPr>
          <w:i/>
        </w:rPr>
      </w:pPr>
      <w:r>
        <w:t xml:space="preserve">Seejärel klõpsake nuppu </w:t>
      </w:r>
      <w:r w:rsidRPr="009B28F0">
        <w:rPr>
          <w:i/>
        </w:rPr>
        <w:t xml:space="preserve">Esita </w:t>
      </w:r>
      <w:r>
        <w:rPr>
          <w:i/>
        </w:rPr>
        <w:t>toetustaotlus.</w:t>
      </w:r>
    </w:p>
    <w:p w14:paraId="5527E3BD" w14:textId="77777777" w:rsidR="00106FE2" w:rsidRDefault="00106FE2" w:rsidP="00106FE2">
      <w:pPr>
        <w:pStyle w:val="ListParagraph"/>
        <w:spacing w:after="0"/>
        <w:ind w:left="0"/>
        <w:jc w:val="both"/>
        <w:rPr>
          <w:i/>
        </w:rPr>
      </w:pPr>
      <w:r>
        <w:rPr>
          <w:i/>
          <w:noProof/>
          <w:lang w:eastAsia="et-EE"/>
        </w:rPr>
        <w:lastRenderedPageBreak/>
        <w:drawing>
          <wp:inline distT="0" distB="0" distL="0" distR="0" wp14:anchorId="4B145FDC" wp14:editId="06A4E0EF">
            <wp:extent cx="5063490" cy="1210310"/>
            <wp:effectExtent l="76200" t="19050" r="80010" b="1422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121031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1606C4" w14:textId="52424EAC" w:rsidR="00106FE2" w:rsidRDefault="00106FE2" w:rsidP="00106FE2">
      <w:pPr>
        <w:pStyle w:val="ListParagraph"/>
        <w:spacing w:after="0"/>
        <w:ind w:left="0"/>
        <w:jc w:val="both"/>
      </w:pPr>
      <w:r>
        <w:t>Avaneb vorm meetme valimiseks</w:t>
      </w:r>
      <w:r w:rsidRPr="009B28F0">
        <w:rPr>
          <w:i/>
        </w:rPr>
        <w:t xml:space="preserve"> </w:t>
      </w:r>
      <w:r>
        <w:t xml:space="preserve">– valige </w:t>
      </w:r>
      <w:proofErr w:type="spellStart"/>
      <w:r>
        <w:t>rippmenüüst</w:t>
      </w:r>
      <w:proofErr w:type="spellEnd"/>
      <w:r>
        <w:t xml:space="preserve"> „</w:t>
      </w:r>
      <w:r w:rsidRPr="00106FE2">
        <w:rPr>
          <w:i/>
        </w:rPr>
        <w:t>Põllumajandustootja asendamise toetus</w:t>
      </w:r>
      <w:r>
        <w:t>“.</w:t>
      </w:r>
    </w:p>
    <w:p w14:paraId="54D10635" w14:textId="71E80468" w:rsidR="00106FE2" w:rsidRDefault="00106FE2" w:rsidP="00106FE2">
      <w:pPr>
        <w:pStyle w:val="ListParagraph"/>
        <w:spacing w:after="0"/>
        <w:ind w:left="0"/>
        <w:jc w:val="both"/>
      </w:pPr>
    </w:p>
    <w:p w14:paraId="43D83A3F" w14:textId="0C61CB0E" w:rsidR="0061700B" w:rsidRDefault="0061700B" w:rsidP="0061700B">
      <w:pPr>
        <w:pStyle w:val="ListParagraph"/>
        <w:spacing w:after="0"/>
        <w:ind w:left="0"/>
        <w:jc w:val="both"/>
        <w:rPr>
          <w:rFonts w:eastAsia="Times New Roman"/>
          <w:lang w:eastAsia="et-EE"/>
        </w:rPr>
      </w:pPr>
      <w:r>
        <w:t xml:space="preserve">Avaneb vorm taotleja </w:t>
      </w:r>
      <w:proofErr w:type="spellStart"/>
      <w:r>
        <w:t>üldandmetega</w:t>
      </w:r>
      <w:proofErr w:type="spellEnd"/>
      <w:r>
        <w:t xml:space="preserve"> ning volitatud esindaja andmetega. </w:t>
      </w:r>
      <w:r w:rsidRPr="00E47FBB">
        <w:t xml:space="preserve">Kui taotlejal on mitu esindajat ja esitatava taotluse osas soovitakse anda </w:t>
      </w:r>
      <w:proofErr w:type="spellStart"/>
      <w:r w:rsidRPr="00E47FBB">
        <w:t>PRIA</w:t>
      </w:r>
      <w:r>
        <w:t>-</w:t>
      </w:r>
      <w:r w:rsidRPr="00E47FBB">
        <w:t>le</w:t>
      </w:r>
      <w:proofErr w:type="spellEnd"/>
      <w:r w:rsidRPr="00E47FBB">
        <w:t xml:space="preserve"> kontaktisikuks mõni teine esindusõigust omav isik, siis saab seda teha </w:t>
      </w:r>
      <w:r>
        <w:t>klõpsates</w:t>
      </w:r>
      <w:r w:rsidRPr="00E47FBB">
        <w:t xml:space="preserve"> nupule „</w:t>
      </w:r>
      <w:r w:rsidRPr="00646448">
        <w:rPr>
          <w:i/>
        </w:rPr>
        <w:t>Vaheta esindaja</w:t>
      </w:r>
      <w:r w:rsidRPr="00E47FBB">
        <w:t>“</w:t>
      </w:r>
      <w:r w:rsidR="00F92997">
        <w:t xml:space="preserve">. </w:t>
      </w:r>
      <w:r w:rsidRPr="00E47FBB">
        <w:rPr>
          <w:rFonts w:eastAsia="Times New Roman"/>
          <w:lang w:eastAsia="et-EE"/>
        </w:rPr>
        <w:t>Vajadusel saab ka volitusi anda siinsamas keskkonnas, valides ülemiselt menüüribalt „</w:t>
      </w:r>
      <w:r w:rsidRPr="00646448">
        <w:rPr>
          <w:rFonts w:eastAsia="Times New Roman"/>
          <w:i/>
          <w:lang w:eastAsia="et-EE"/>
        </w:rPr>
        <w:t>Esindusõigused ja volitused</w:t>
      </w:r>
      <w:r w:rsidRPr="00E47FBB">
        <w:rPr>
          <w:rFonts w:eastAsia="Times New Roman"/>
          <w:lang w:eastAsia="et-EE"/>
        </w:rPr>
        <w:t>“</w:t>
      </w:r>
    </w:p>
    <w:p w14:paraId="609676C7" w14:textId="593F5CA6" w:rsidR="00106FE2" w:rsidRDefault="00106FE2" w:rsidP="00106FE2">
      <w:pPr>
        <w:pStyle w:val="ListParagraph"/>
        <w:spacing w:after="0"/>
        <w:ind w:left="0"/>
        <w:jc w:val="both"/>
      </w:pPr>
    </w:p>
    <w:p w14:paraId="6ED23D5E" w14:textId="0412B23C" w:rsidR="0061700B" w:rsidRDefault="0061700B" w:rsidP="00106FE2">
      <w:pPr>
        <w:pStyle w:val="ListParagraph"/>
        <w:spacing w:after="0"/>
        <w:ind w:left="0"/>
        <w:jc w:val="both"/>
      </w:pPr>
      <w:r>
        <w:t>Kui esindaja andmed on sobivad, klõpsake nuppu „</w:t>
      </w:r>
      <w:r w:rsidRPr="0061700B">
        <w:rPr>
          <w:i/>
        </w:rPr>
        <w:t>Edasi</w:t>
      </w:r>
      <w:r>
        <w:t xml:space="preserve">“. Seejärel avaneb detailandmete samm. Esmalt tuleb üles laadida asendusteenuse tegevuskava ja struktuur. Selleks klõpsake nuppu </w:t>
      </w:r>
      <w:r>
        <w:rPr>
          <w:noProof/>
          <w:lang w:eastAsia="et-EE"/>
        </w:rPr>
        <w:drawing>
          <wp:inline distT="0" distB="0" distL="0" distR="0" wp14:anchorId="03C2C0B0" wp14:editId="09C3AE30">
            <wp:extent cx="676275" cy="241049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878" cy="2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07A687BB" w14:textId="1AB1D5DF" w:rsidR="00250686" w:rsidRDefault="00250686" w:rsidP="00106FE2">
      <w:pPr>
        <w:pStyle w:val="ListParagraph"/>
        <w:spacing w:after="0"/>
        <w:ind w:left="0"/>
        <w:jc w:val="both"/>
      </w:pPr>
    </w:p>
    <w:p w14:paraId="33669AAE" w14:textId="30546E38" w:rsidR="00250686" w:rsidRDefault="00250686" w:rsidP="00106FE2">
      <w:pPr>
        <w:pStyle w:val="ListParagraph"/>
        <w:spacing w:after="0"/>
        <w:ind w:left="0"/>
        <w:jc w:val="both"/>
      </w:pPr>
      <w:r>
        <w:t>Seejärel tuleb sisestada andmed põllumajandustootjatega sõlmitud lepingute kohta. Selleks klõpsake esmalt nuppu „Lisa rida“.</w:t>
      </w:r>
    </w:p>
    <w:p w14:paraId="7A9E5D6C" w14:textId="32152679" w:rsidR="00250686" w:rsidRDefault="00250686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drawing>
          <wp:inline distT="0" distB="0" distL="0" distR="0" wp14:anchorId="3B0AFE91" wp14:editId="1FEA3BA7">
            <wp:extent cx="5819775" cy="2486025"/>
            <wp:effectExtent l="76200" t="19050" r="85725" b="1428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4860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4D5B0EF" w14:textId="77777777" w:rsidR="00250686" w:rsidRDefault="00250686" w:rsidP="00106FE2">
      <w:pPr>
        <w:pStyle w:val="ListParagraph"/>
        <w:spacing w:after="0"/>
        <w:ind w:left="0"/>
        <w:jc w:val="both"/>
      </w:pPr>
    </w:p>
    <w:p w14:paraId="7071B869" w14:textId="4C638954" w:rsidR="00250686" w:rsidRDefault="00250686" w:rsidP="00106FE2">
      <w:pPr>
        <w:pStyle w:val="ListParagraph"/>
        <w:spacing w:after="0"/>
        <w:ind w:left="0"/>
        <w:jc w:val="both"/>
      </w:pPr>
      <w:r>
        <w:t>Avaneb tabel andmete sisestamiseks. Esmalt kirjutage esimesse veergu järjekorranumber ning seejärel registrikoodi väljale põllumajandustootja registrikood</w:t>
      </w:r>
      <w:r w:rsidR="0064100C">
        <w:t>. Seejärel klõpsake nuppu „Otsi“.</w:t>
      </w:r>
    </w:p>
    <w:p w14:paraId="21984CA9" w14:textId="5CEE4229" w:rsidR="0064696F" w:rsidRDefault="0064696F" w:rsidP="00106FE2">
      <w:pPr>
        <w:pStyle w:val="ListParagraph"/>
        <w:spacing w:after="0"/>
        <w:ind w:left="0"/>
        <w:jc w:val="both"/>
      </w:pPr>
    </w:p>
    <w:p w14:paraId="3B6D00D4" w14:textId="330F0092" w:rsidR="0064696F" w:rsidRDefault="0064696F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lastRenderedPageBreak/>
        <w:drawing>
          <wp:inline distT="0" distB="0" distL="0" distR="0" wp14:anchorId="34D0957D" wp14:editId="0E40AE09">
            <wp:extent cx="5829300" cy="981075"/>
            <wp:effectExtent l="76200" t="19050" r="76200" b="142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2">
                          <a:lumMod val="9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F8CDE4" w14:textId="371D2F56" w:rsidR="00106FE2" w:rsidRDefault="00106FE2" w:rsidP="00106FE2">
      <w:pPr>
        <w:pStyle w:val="ListParagraph"/>
        <w:spacing w:after="0"/>
        <w:ind w:left="0"/>
        <w:jc w:val="both"/>
      </w:pPr>
    </w:p>
    <w:p w14:paraId="1CF09410" w14:textId="77777777" w:rsidR="00463358" w:rsidRDefault="0064100C" w:rsidP="00106FE2">
      <w:pPr>
        <w:pStyle w:val="ListParagraph"/>
        <w:spacing w:after="0"/>
        <w:ind w:left="0"/>
        <w:jc w:val="both"/>
      </w:pPr>
      <w:r>
        <w:t>Registrikoodi alusel päritakse ning kuvatakse automaatselt ettevõtte nimi</w:t>
      </w:r>
      <w:r w:rsidR="00BF3BF3">
        <w:t xml:space="preserve">. Lisaks tuleb sisestada taotleja ning põllumajandustootja vahelise lepingu number, alguskuupäev ning kui on, siis ka lõppkuupäev. Sarnaselt tuleb sisestada kõik põllumajandustootjatega sõlmitud lepingute andmed, klõpsates iga kord eelnevalt nuppu </w:t>
      </w:r>
      <w:r w:rsidR="00BF3BF3">
        <w:rPr>
          <w:noProof/>
          <w:lang w:eastAsia="et-EE"/>
        </w:rPr>
        <w:drawing>
          <wp:inline distT="0" distB="0" distL="0" distR="0" wp14:anchorId="0063E7DC" wp14:editId="5FCB017D">
            <wp:extent cx="713679" cy="2438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2227" cy="27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BF3">
        <w:t>.</w:t>
      </w:r>
      <w:r w:rsidR="0095758A">
        <w:t xml:space="preserve"> </w:t>
      </w:r>
    </w:p>
    <w:p w14:paraId="2935609A" w14:textId="77777777" w:rsidR="00391451" w:rsidRDefault="00391451" w:rsidP="00106FE2">
      <w:pPr>
        <w:pStyle w:val="ListParagraph"/>
        <w:spacing w:after="0"/>
        <w:ind w:left="0"/>
        <w:jc w:val="both"/>
      </w:pPr>
    </w:p>
    <w:p w14:paraId="02719B45" w14:textId="245342C6" w:rsidR="0095758A" w:rsidRDefault="0095758A" w:rsidP="00106FE2">
      <w:pPr>
        <w:pStyle w:val="ListParagraph"/>
        <w:spacing w:after="0"/>
        <w:ind w:left="0"/>
        <w:jc w:val="both"/>
        <w:rPr>
          <w:i/>
        </w:rPr>
      </w:pPr>
      <w:r>
        <w:t xml:space="preserve">Kui põllumajandustootjaid on palju ning Teil ei ole võimalik </w:t>
      </w:r>
      <w:r w:rsidR="00391451">
        <w:t xml:space="preserve">kõiki </w:t>
      </w:r>
      <w:r>
        <w:t xml:space="preserve">andmeid korraga sisestada ning soovite sisestamist hiljem jätkata, siis klõpsake nuppu </w:t>
      </w:r>
      <w:r>
        <w:rPr>
          <w:noProof/>
          <w:lang w:eastAsia="et-EE"/>
        </w:rPr>
        <w:drawing>
          <wp:inline distT="0" distB="0" distL="0" distR="0" wp14:anchorId="0289A419" wp14:editId="43D12C81">
            <wp:extent cx="732496" cy="272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556" cy="28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Pooleli jäänud taotluse täitmist saate hiljem jätkata, valides  peamenüüst </w:t>
      </w:r>
      <w:r w:rsidRPr="0095758A">
        <w:rPr>
          <w:i/>
        </w:rPr>
        <w:t>„Taotlemine“</w:t>
      </w:r>
      <w:r w:rsidR="00463358">
        <w:rPr>
          <w:i/>
        </w:rPr>
        <w:t>.</w:t>
      </w:r>
    </w:p>
    <w:p w14:paraId="7AB4E2CF" w14:textId="77777777" w:rsidR="00F92997" w:rsidRDefault="00F92997" w:rsidP="00106FE2">
      <w:pPr>
        <w:pStyle w:val="ListParagraph"/>
        <w:spacing w:after="0"/>
        <w:ind w:left="0"/>
        <w:jc w:val="both"/>
      </w:pPr>
    </w:p>
    <w:p w14:paraId="7C69606D" w14:textId="53F1E882" w:rsidR="00BF3BF3" w:rsidRDefault="0095758A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drawing>
          <wp:inline distT="0" distB="0" distL="0" distR="0" wp14:anchorId="2F4475C0" wp14:editId="7066053D">
            <wp:extent cx="5829300" cy="1009650"/>
            <wp:effectExtent l="76200" t="19050" r="76200" b="133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0096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7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7520DE4" w14:textId="05E81550" w:rsidR="00BA5A65" w:rsidRDefault="00BA5A65" w:rsidP="00BA5A65">
      <w:pPr>
        <w:pStyle w:val="ListParagraph"/>
        <w:spacing w:after="0"/>
        <w:ind w:left="0"/>
        <w:jc w:val="both"/>
      </w:pPr>
      <w:r w:rsidRPr="0095758A">
        <w:t>ning</w:t>
      </w:r>
      <w:r>
        <w:t xml:space="preserve"> alajaotuses „esitamata taotlused“</w:t>
      </w:r>
      <w:r w:rsidR="00391451">
        <w:t xml:space="preserve"> saate</w:t>
      </w:r>
      <w:r>
        <w:t xml:space="preserve"> avada soovitud taotlus</w:t>
      </w:r>
      <w:r w:rsidR="00391451">
        <w:t>e</w:t>
      </w:r>
      <w:r>
        <w:t>.</w:t>
      </w:r>
    </w:p>
    <w:p w14:paraId="1E7979C0" w14:textId="2F9A3562" w:rsidR="00BF3BF3" w:rsidRDefault="00BF3BF3" w:rsidP="00106FE2">
      <w:pPr>
        <w:pStyle w:val="ListParagraph"/>
        <w:spacing w:after="0"/>
        <w:ind w:left="0"/>
        <w:jc w:val="both"/>
      </w:pPr>
    </w:p>
    <w:p w14:paraId="44B2B1C1" w14:textId="50655CB8" w:rsidR="00A23EA4" w:rsidRDefault="00BF3BF3" w:rsidP="00106FE2">
      <w:pPr>
        <w:pStyle w:val="ListParagraph"/>
        <w:spacing w:after="0"/>
        <w:ind w:left="0"/>
        <w:jc w:val="both"/>
      </w:pPr>
      <w:r>
        <w:t>Põllumajandustootja</w:t>
      </w:r>
      <w:r w:rsidR="00A8747A">
        <w:t xml:space="preserve">tega sõlmitud lepingute faile saab lisada, kui klõpsate vastavat nuppu </w:t>
      </w:r>
      <w:r w:rsidR="004F0C92">
        <w:rPr>
          <w:noProof/>
          <w:lang w:eastAsia="et-EE"/>
        </w:rPr>
        <w:drawing>
          <wp:inline distT="0" distB="0" distL="0" distR="0" wp14:anchorId="78681FFE" wp14:editId="4DA04D7B">
            <wp:extent cx="676275" cy="241049"/>
            <wp:effectExtent l="0" t="0" r="0" b="698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878" cy="2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C92">
        <w:t>.</w:t>
      </w:r>
    </w:p>
    <w:p w14:paraId="65105577" w14:textId="28866BCD" w:rsidR="00A23EA4" w:rsidRDefault="00B82F22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drawing>
          <wp:inline distT="0" distB="0" distL="0" distR="0" wp14:anchorId="23477BB8" wp14:editId="32928F73">
            <wp:extent cx="5829300" cy="1495425"/>
            <wp:effectExtent l="76200" t="19050" r="76200" b="142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954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2">
                          <a:lumMod val="9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BB4435" w14:textId="77777777" w:rsidR="00A23EA4" w:rsidRDefault="00A23EA4" w:rsidP="00106FE2">
      <w:pPr>
        <w:pStyle w:val="ListParagraph"/>
        <w:spacing w:after="0"/>
        <w:ind w:left="0"/>
        <w:jc w:val="both"/>
      </w:pPr>
    </w:p>
    <w:p w14:paraId="2B4C18D1" w14:textId="1061B62C" w:rsidR="00BF3BF3" w:rsidRDefault="00A8747A" w:rsidP="00106FE2">
      <w:pPr>
        <w:pStyle w:val="ListParagraph"/>
        <w:spacing w:after="0"/>
        <w:ind w:left="0"/>
        <w:jc w:val="both"/>
      </w:pPr>
      <w:r>
        <w:t>Failid palume lisada nende lepingute puhul, mida ei ole varasemate taotlusvoorude raames esitatu</w:t>
      </w:r>
      <w:r w:rsidR="00A23EA4">
        <w:t>d ega PRIA poolt kontrollitud.</w:t>
      </w:r>
    </w:p>
    <w:p w14:paraId="0F966DCF" w14:textId="18FF5E0A" w:rsidR="00A23EA4" w:rsidRDefault="00A23EA4" w:rsidP="00106FE2">
      <w:pPr>
        <w:pStyle w:val="ListParagraph"/>
        <w:spacing w:after="0"/>
        <w:ind w:left="0"/>
        <w:jc w:val="both"/>
      </w:pPr>
    </w:p>
    <w:p w14:paraId="17C7762F" w14:textId="4EE43110" w:rsidR="00A23EA4" w:rsidRDefault="00A23EA4" w:rsidP="00106FE2">
      <w:pPr>
        <w:pStyle w:val="ListParagraph"/>
        <w:spacing w:after="0"/>
        <w:ind w:left="0"/>
        <w:jc w:val="both"/>
      </w:pPr>
      <w:r>
        <w:t xml:space="preserve">Kui põllumajandustootjate andmed on sisestatud, klõpsake nuppu </w:t>
      </w:r>
      <w:r>
        <w:rPr>
          <w:noProof/>
          <w:lang w:eastAsia="et-EE"/>
        </w:rPr>
        <w:drawing>
          <wp:inline distT="0" distB="0" distL="0" distR="0" wp14:anchorId="469B17C2" wp14:editId="337A7F55">
            <wp:extent cx="1012371" cy="228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1118" cy="2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 w:rsidR="004F0C92">
        <w:t xml:space="preserve"> A</w:t>
      </w:r>
      <w:r>
        <w:t xml:space="preserve">vaneb asendajate andmete sisestamise vorm, kus esmalt tuleb taas klõpsata nuppu </w:t>
      </w:r>
      <w:r>
        <w:rPr>
          <w:noProof/>
          <w:lang w:eastAsia="et-EE"/>
        </w:rPr>
        <w:drawing>
          <wp:inline distT="0" distB="0" distL="0" distR="0" wp14:anchorId="5A922179" wp14:editId="75228D8D">
            <wp:extent cx="628650" cy="21478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2295" cy="2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C92">
        <w:t xml:space="preserve"> ning seejärel täita andmeväljad. </w:t>
      </w:r>
      <w:r w:rsidR="00F51DF6">
        <w:t xml:space="preserve">Asendaja nõuetele vastavust tõendavate dokumentide lisamiseks </w:t>
      </w:r>
      <w:r w:rsidR="00F51DF6">
        <w:lastRenderedPageBreak/>
        <w:t>klõpsake vastavas lahtri</w:t>
      </w:r>
      <w:r w:rsidR="004F0C92">
        <w:t xml:space="preserve">s nuppu </w:t>
      </w:r>
      <w:r w:rsidR="004F0C92">
        <w:rPr>
          <w:noProof/>
          <w:lang w:eastAsia="et-EE"/>
        </w:rPr>
        <w:drawing>
          <wp:inline distT="0" distB="0" distL="0" distR="0" wp14:anchorId="619D49B2" wp14:editId="60C9DA49">
            <wp:extent cx="628650" cy="224074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23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C92">
        <w:t>.</w:t>
      </w:r>
      <w:r w:rsidR="00F92997">
        <w:t xml:space="preserve"> Dokumendid</w:t>
      </w:r>
      <w:r w:rsidR="008C2D6A">
        <w:t xml:space="preserve"> palume lisada uute asendajate puhul, kelle nõuetele vastavust ei ole PRIA varasemate taotlusvoorude raames kontrollinud.</w:t>
      </w:r>
    </w:p>
    <w:p w14:paraId="6163DC87" w14:textId="4F101DA7" w:rsidR="00F51DF6" w:rsidRDefault="00F51DF6" w:rsidP="00106FE2">
      <w:pPr>
        <w:pStyle w:val="ListParagraph"/>
        <w:spacing w:after="0"/>
        <w:ind w:left="0"/>
        <w:jc w:val="both"/>
      </w:pPr>
    </w:p>
    <w:p w14:paraId="384E7E1D" w14:textId="7D8B55C0" w:rsidR="00F51DF6" w:rsidRDefault="00F51DF6" w:rsidP="00106FE2">
      <w:pPr>
        <w:pStyle w:val="ListParagraph"/>
        <w:spacing w:after="0"/>
        <w:ind w:left="0"/>
        <w:jc w:val="both"/>
      </w:pPr>
      <w:r>
        <w:t xml:space="preserve">Kui vähemalt kümne asendaja andmed on sisestatud, klõpsake nuppu </w:t>
      </w:r>
      <w:r>
        <w:rPr>
          <w:noProof/>
          <w:lang w:eastAsia="et-EE"/>
        </w:rPr>
        <w:drawing>
          <wp:inline distT="0" distB="0" distL="0" distR="0" wp14:anchorId="6C13EE66" wp14:editId="53ADBDC2">
            <wp:extent cx="1012371" cy="2286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1118" cy="2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3358">
        <w:t xml:space="preserve">, mis viib </w:t>
      </w:r>
      <w:r>
        <w:t xml:space="preserve">toetatava tegevuse sisestamise vormile, kus esmalt tuleb klõpsata nuppu </w:t>
      </w:r>
      <w:r w:rsidRPr="00F51DF6">
        <w:rPr>
          <w:i/>
        </w:rPr>
        <w:t>„Lisa uus tegevus“</w:t>
      </w:r>
      <w:r>
        <w:t>.</w:t>
      </w:r>
    </w:p>
    <w:p w14:paraId="714E5FD3" w14:textId="66BF1B1C" w:rsidR="00F51DF6" w:rsidRDefault="00F51DF6" w:rsidP="00106FE2">
      <w:pPr>
        <w:pStyle w:val="ListParagraph"/>
        <w:spacing w:after="0"/>
        <w:ind w:left="0"/>
        <w:jc w:val="both"/>
      </w:pPr>
    </w:p>
    <w:p w14:paraId="4C7FEBF2" w14:textId="3657B567" w:rsidR="00F51DF6" w:rsidRDefault="00F51DF6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drawing>
          <wp:inline distT="0" distB="0" distL="0" distR="0" wp14:anchorId="6878E0C8" wp14:editId="491A2042">
            <wp:extent cx="5819775" cy="1933575"/>
            <wp:effectExtent l="76200" t="19050" r="85725" b="1428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335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D703D0" w14:textId="213BE2D9" w:rsidR="00F51DF6" w:rsidRDefault="00F51DF6" w:rsidP="00106FE2">
      <w:pPr>
        <w:pStyle w:val="ListParagraph"/>
        <w:spacing w:after="0"/>
        <w:ind w:left="0"/>
        <w:jc w:val="both"/>
      </w:pPr>
    </w:p>
    <w:p w14:paraId="117A7228" w14:textId="4A89DFE2" w:rsidR="00F51DF6" w:rsidRDefault="00F51DF6" w:rsidP="00106FE2">
      <w:pPr>
        <w:pStyle w:val="ListParagraph"/>
        <w:spacing w:after="0"/>
        <w:ind w:left="0"/>
        <w:jc w:val="both"/>
      </w:pPr>
      <w:r>
        <w:t xml:space="preserve">Avanenud vormil valige esmalt </w:t>
      </w:r>
      <w:proofErr w:type="spellStart"/>
      <w:r>
        <w:t>rippmenüüst</w:t>
      </w:r>
      <w:proofErr w:type="spellEnd"/>
      <w:r>
        <w:t xml:space="preserve"> tegevuse liigiks „Põhitegevus“ ning tegevuseks „Asendusteenuse osutamine“.</w:t>
      </w:r>
      <w:r w:rsidR="002C179F">
        <w:t xml:space="preserve"> Seejärel tuleb täita kolm tekstivälja – sisestada tegevuse nimetus panna kirja tegevuse eesmärk ning lühike tegevuse kirjeldus. </w:t>
      </w:r>
    </w:p>
    <w:p w14:paraId="192B58C3" w14:textId="20752568" w:rsidR="002C179F" w:rsidRDefault="002C179F" w:rsidP="00106FE2">
      <w:pPr>
        <w:pStyle w:val="ListParagraph"/>
        <w:spacing w:after="0"/>
        <w:ind w:left="0"/>
        <w:jc w:val="both"/>
      </w:pPr>
    </w:p>
    <w:p w14:paraId="4928C74B" w14:textId="3A0C45FB" w:rsidR="002C179F" w:rsidRDefault="002C179F" w:rsidP="00106FE2">
      <w:pPr>
        <w:pStyle w:val="ListParagraph"/>
        <w:spacing w:after="0"/>
        <w:ind w:left="0"/>
        <w:jc w:val="both"/>
      </w:pPr>
      <w:r>
        <w:t xml:space="preserve">Kui need väljad on täidetud, klõpsake vormi allosas asuvat nuppu </w:t>
      </w:r>
      <w:r w:rsidRPr="002C179F">
        <w:rPr>
          <w:i/>
        </w:rPr>
        <w:t>„Salvesta ja sisesta eelarve“.</w:t>
      </w:r>
    </w:p>
    <w:p w14:paraId="54A1F2DF" w14:textId="77777777" w:rsidR="00A23EA4" w:rsidRDefault="00A23EA4" w:rsidP="00106FE2">
      <w:pPr>
        <w:pStyle w:val="ListParagraph"/>
        <w:spacing w:after="0"/>
        <w:ind w:left="0"/>
        <w:jc w:val="both"/>
      </w:pPr>
    </w:p>
    <w:p w14:paraId="30409344" w14:textId="11F83DA6" w:rsidR="00BF3BF3" w:rsidRDefault="002C179F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drawing>
          <wp:inline distT="0" distB="0" distL="0" distR="0" wp14:anchorId="6BA6625E" wp14:editId="3E09DFAD">
            <wp:extent cx="5819775" cy="2600325"/>
            <wp:effectExtent l="76200" t="19050" r="85725" b="1428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6003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61B3B6" w14:textId="6E3845F9" w:rsidR="002C179F" w:rsidRDefault="002C179F" w:rsidP="00106FE2">
      <w:pPr>
        <w:pStyle w:val="ListParagraph"/>
        <w:spacing w:after="0"/>
        <w:ind w:left="0"/>
        <w:jc w:val="both"/>
      </w:pPr>
    </w:p>
    <w:p w14:paraId="7FE16135" w14:textId="5E290036" w:rsidR="002C179F" w:rsidRDefault="002C179F" w:rsidP="00106FE2">
      <w:pPr>
        <w:pStyle w:val="ListParagraph"/>
        <w:spacing w:after="0"/>
        <w:ind w:left="0"/>
        <w:jc w:val="both"/>
        <w:rPr>
          <w:i/>
        </w:rPr>
      </w:pPr>
      <w:r>
        <w:t xml:space="preserve">Avaneval vormil tuleb lahtrisse „Ühikumäär“ kirjutada taotletava päevatasu määr. See ei või olla suurem kui määruses sätestatud 140 eurot. </w:t>
      </w:r>
      <w:r w:rsidR="00917F85">
        <w:t xml:space="preserve">Seejärel tuleb sisestada ühikute arv ehk prognoositav asendusteenuse päevade arv. Selleks klõpsake rea lõpus sõnal </w:t>
      </w:r>
      <w:r w:rsidR="00917F85" w:rsidRPr="00917F85">
        <w:rPr>
          <w:i/>
        </w:rPr>
        <w:t>„Muuda“</w:t>
      </w:r>
      <w:r w:rsidR="00917F85">
        <w:rPr>
          <w:i/>
        </w:rPr>
        <w:t>.</w:t>
      </w:r>
    </w:p>
    <w:p w14:paraId="4F98EB14" w14:textId="77777777" w:rsidR="00917F85" w:rsidRDefault="00917F85" w:rsidP="00106FE2">
      <w:pPr>
        <w:pStyle w:val="ListParagraph"/>
        <w:spacing w:after="0"/>
        <w:ind w:left="0"/>
        <w:jc w:val="both"/>
        <w:rPr>
          <w:i/>
        </w:rPr>
      </w:pPr>
    </w:p>
    <w:p w14:paraId="578537C9" w14:textId="782A18A1" w:rsidR="00917F85" w:rsidRDefault="00917F85" w:rsidP="00106FE2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lastRenderedPageBreak/>
        <w:drawing>
          <wp:inline distT="0" distB="0" distL="0" distR="0" wp14:anchorId="6C8720F4" wp14:editId="03762DC6">
            <wp:extent cx="5819775" cy="1438275"/>
            <wp:effectExtent l="76200" t="19050" r="85725" b="1428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4382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EA1480" w14:textId="112144ED" w:rsidR="002C179F" w:rsidRDefault="002C179F" w:rsidP="00106FE2">
      <w:pPr>
        <w:pStyle w:val="ListParagraph"/>
        <w:spacing w:after="0"/>
        <w:ind w:left="0"/>
        <w:jc w:val="both"/>
      </w:pPr>
    </w:p>
    <w:p w14:paraId="445DE415" w14:textId="77777777" w:rsidR="002C179F" w:rsidRDefault="002C179F" w:rsidP="00106FE2">
      <w:pPr>
        <w:pStyle w:val="ListParagraph"/>
        <w:spacing w:after="0"/>
        <w:ind w:left="0"/>
        <w:jc w:val="both"/>
      </w:pPr>
    </w:p>
    <w:p w14:paraId="7104C771" w14:textId="3795D5FE" w:rsidR="00414EAF" w:rsidRDefault="00917F85" w:rsidP="00414EAF">
      <w:pPr>
        <w:pStyle w:val="ListParagraph"/>
        <w:spacing w:after="0"/>
        <w:ind w:left="0"/>
        <w:jc w:val="both"/>
      </w:pPr>
      <w:r>
        <w:t>Avanenud aknas valige ühikuks „päev“</w:t>
      </w:r>
      <w:r w:rsidR="0020756A">
        <w:t xml:space="preserve">, </w:t>
      </w:r>
      <w:r>
        <w:t>sisestage päevade arv</w:t>
      </w:r>
      <w:r w:rsidR="0020756A">
        <w:t xml:space="preserve"> ning salvestage</w:t>
      </w:r>
      <w:r>
        <w:t xml:space="preserve">. </w:t>
      </w:r>
      <w:r w:rsidR="0020756A">
        <w:t>E</w:t>
      </w:r>
      <w:r>
        <w:t>elarve vormilt väljumiseks</w:t>
      </w:r>
      <w:r w:rsidR="0020756A">
        <w:t xml:space="preserve"> klõpsake</w:t>
      </w:r>
      <w:r>
        <w:t xml:space="preserve"> </w:t>
      </w:r>
      <w:r>
        <w:rPr>
          <w:noProof/>
          <w:lang w:eastAsia="et-EE"/>
        </w:rPr>
        <w:drawing>
          <wp:inline distT="0" distB="0" distL="0" distR="0" wp14:anchorId="5DC65333" wp14:editId="4AA7E647">
            <wp:extent cx="2752725" cy="252487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3504" cy="2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56A">
        <w:t xml:space="preserve">. </w:t>
      </w:r>
    </w:p>
    <w:p w14:paraId="584AFB11" w14:textId="77777777" w:rsidR="0020756A" w:rsidRDefault="0020756A" w:rsidP="00414EAF">
      <w:pPr>
        <w:pStyle w:val="ListParagraph"/>
        <w:spacing w:after="0"/>
        <w:ind w:left="0"/>
        <w:jc w:val="both"/>
      </w:pPr>
    </w:p>
    <w:p w14:paraId="0A3F5468" w14:textId="3772998D" w:rsidR="0020756A" w:rsidRDefault="0020756A" w:rsidP="00414EAF">
      <w:pPr>
        <w:pStyle w:val="ListParagraph"/>
        <w:spacing w:after="0"/>
        <w:ind w:left="0"/>
        <w:jc w:val="both"/>
      </w:pPr>
      <w:r>
        <w:t xml:space="preserve">Tegevuste põhilehel kuvatakse sisestatud andmete põhjal arvutatuna taotletav toetuse summa. Taotluse esitamise sammu liikumiseks klõpsake </w:t>
      </w:r>
      <w:r>
        <w:rPr>
          <w:noProof/>
          <w:lang w:eastAsia="et-EE"/>
        </w:rPr>
        <w:drawing>
          <wp:inline distT="0" distB="0" distL="0" distR="0" wp14:anchorId="2A33D23D" wp14:editId="7366769F">
            <wp:extent cx="542925" cy="23680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0855" cy="2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42799861" w14:textId="2384C0FB" w:rsidR="0020756A" w:rsidRDefault="0020756A" w:rsidP="00414EAF">
      <w:pPr>
        <w:pStyle w:val="ListParagraph"/>
        <w:spacing w:after="0"/>
        <w:ind w:left="0"/>
        <w:jc w:val="both"/>
      </w:pPr>
    </w:p>
    <w:p w14:paraId="36EC1648" w14:textId="630ADFB6" w:rsidR="0020756A" w:rsidRPr="0020756A" w:rsidRDefault="0020756A" w:rsidP="0020756A">
      <w:pPr>
        <w:pStyle w:val="ListParagraph"/>
        <w:spacing w:after="0"/>
        <w:ind w:left="0"/>
        <w:jc w:val="both"/>
      </w:pPr>
      <w:r>
        <w:t xml:space="preserve">Taotluse esitamise sammus on teil võimalik esitatav taotlus PDF </w:t>
      </w:r>
      <w:r w:rsidR="00463358">
        <w:t>formaadis</w:t>
      </w:r>
      <w:r>
        <w:t xml:space="preserve"> välja printida ning samuti anda oma nõusolek taotluse suhtes tehtava </w:t>
      </w:r>
      <w:r w:rsidRPr="0020756A">
        <w:t>otsuse teatavaks tegemiseks elektroonilise kätte</w:t>
      </w:r>
      <w:r>
        <w:t xml:space="preserve"> </w:t>
      </w:r>
      <w:r w:rsidRPr="0020756A">
        <w:t>toimetamisega põllumajandustoetuste ja põllumassiivide registris olevale e-posti aadressile.</w:t>
      </w:r>
    </w:p>
    <w:p w14:paraId="631A634C" w14:textId="7D07E8D2" w:rsidR="0020756A" w:rsidRDefault="0020756A" w:rsidP="00414EAF">
      <w:pPr>
        <w:pStyle w:val="ListParagraph"/>
        <w:spacing w:after="0"/>
        <w:ind w:left="0"/>
        <w:jc w:val="both"/>
      </w:pPr>
      <w:r>
        <w:rPr>
          <w:noProof/>
          <w:lang w:eastAsia="et-EE"/>
        </w:rPr>
        <w:drawing>
          <wp:inline distT="0" distB="0" distL="0" distR="0" wp14:anchorId="337BABAA" wp14:editId="5D5762DC">
            <wp:extent cx="5831840" cy="1738630"/>
            <wp:effectExtent l="76200" t="19050" r="73660" b="128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738630"/>
                    </a:xfrm>
                    <a:prstGeom prst="rect">
                      <a:avLst/>
                    </a:prstGeom>
                    <a:ln w="25400">
                      <a:solidFill>
                        <a:schemeClr val="accent3">
                          <a:lumMod val="60000"/>
                          <a:lumOff val="40000"/>
                          <a:alpha val="67000"/>
                        </a:schemeClr>
                      </a:solidFill>
                    </a:ln>
                    <a:effectLst>
                      <a:outerShdw blurRad="50800" dist="50800" dir="5400000" algn="ctr" rotWithShape="0">
                        <a:schemeClr val="bg2">
                          <a:lumMod val="9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8DB7056" w14:textId="77777777" w:rsidR="00BE7108" w:rsidRDefault="00BE7108" w:rsidP="00BE5069">
      <w:pPr>
        <w:pStyle w:val="ListParagraph"/>
        <w:spacing w:after="0"/>
        <w:ind w:left="0"/>
        <w:jc w:val="both"/>
      </w:pPr>
    </w:p>
    <w:p w14:paraId="0F771D13" w14:textId="00BBC5F4" w:rsidR="00F9730B" w:rsidRPr="00F9730B" w:rsidRDefault="00F9730B" w:rsidP="00BE5069">
      <w:pPr>
        <w:pStyle w:val="ListParagraph"/>
        <w:spacing w:after="0"/>
        <w:ind w:left="0"/>
        <w:jc w:val="both"/>
      </w:pPr>
      <w:r w:rsidRPr="00F9730B">
        <w:t>Kui</w:t>
      </w:r>
      <w:r>
        <w:t xml:space="preserve"> olete kõik vajalikud andmed sisestanud, siis klõpsake taotluse esitamiseks nuppu </w:t>
      </w:r>
      <w:r w:rsidR="0095758A">
        <w:rPr>
          <w:noProof/>
          <w:lang w:eastAsia="et-EE"/>
        </w:rPr>
        <w:drawing>
          <wp:inline distT="0" distB="0" distL="0" distR="0" wp14:anchorId="30C65F5D" wp14:editId="0AABB873">
            <wp:extent cx="962025" cy="2693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90749" cy="2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58A">
        <w:t xml:space="preserve">. Kui te ei soovi kohe taotlust esitada ning soovite seda veel hiljem üle vaadata või täiendada, siis </w:t>
      </w:r>
      <w:r w:rsidR="00BA5A65">
        <w:t>saate seda teha</w:t>
      </w:r>
      <w:r w:rsidR="00463358">
        <w:t xml:space="preserve">. Salvestage sisestatud andmed ning hiljem saate pooleli oleva taotluse </w:t>
      </w:r>
      <w:r w:rsidR="00863735">
        <w:t xml:space="preserve">avada klõpsates peamenüüs </w:t>
      </w:r>
      <w:r w:rsidR="00863735" w:rsidRPr="00863735">
        <w:rPr>
          <w:i/>
        </w:rPr>
        <w:t>„Taotlemine“</w:t>
      </w:r>
      <w:r w:rsidR="00863735">
        <w:t xml:space="preserve"> ning </w:t>
      </w:r>
      <w:r w:rsidR="00863735" w:rsidRPr="00863735">
        <w:t xml:space="preserve">alajaotuses „esitamata taotlused“ </w:t>
      </w:r>
      <w:r w:rsidR="00463358">
        <w:t xml:space="preserve">saate </w:t>
      </w:r>
      <w:r w:rsidR="00863735" w:rsidRPr="00863735">
        <w:t>avada soovitud taotlus</w:t>
      </w:r>
      <w:r w:rsidR="00463358">
        <w:t>e ning selle esitada</w:t>
      </w:r>
      <w:r w:rsidR="00863735" w:rsidRPr="00863735">
        <w:t>.</w:t>
      </w:r>
    </w:p>
    <w:p w14:paraId="79F033F2" w14:textId="77777777" w:rsidR="00F9730B" w:rsidRDefault="00F9730B" w:rsidP="00BE5069">
      <w:pPr>
        <w:pStyle w:val="ListParagraph"/>
        <w:spacing w:after="0"/>
        <w:ind w:left="0"/>
        <w:jc w:val="both"/>
        <w:rPr>
          <w:b/>
        </w:rPr>
      </w:pPr>
    </w:p>
    <w:p w14:paraId="55715328" w14:textId="67A32C87" w:rsidR="00514086" w:rsidRDefault="00514086" w:rsidP="00BE5069">
      <w:pPr>
        <w:pStyle w:val="ListParagraph"/>
        <w:spacing w:after="0"/>
        <w:ind w:left="0"/>
        <w:jc w:val="both"/>
      </w:pPr>
      <w:r w:rsidRPr="00E11F85">
        <w:rPr>
          <w:b/>
        </w:rPr>
        <w:t>Lisainformatsioon</w:t>
      </w:r>
    </w:p>
    <w:p w14:paraId="69EB9531" w14:textId="0BA0D4B8" w:rsidR="003475A3" w:rsidRPr="008A7C4D" w:rsidRDefault="003475A3" w:rsidP="003475A3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04EDF">
        <w:t>Kui vajate</w:t>
      </w:r>
      <w:r>
        <w:t xml:space="preserve"> e-teenuse kasutamisel PRIA töötaja abi, siis klõpsake nuppu </w:t>
      </w:r>
      <w:r>
        <w:rPr>
          <w:noProof/>
          <w:lang w:eastAsia="et-EE"/>
        </w:rPr>
        <w:drawing>
          <wp:inline distT="0" distB="0" distL="0" distR="0" wp14:anchorId="5DB85463" wp14:editId="038A4F4E">
            <wp:extent cx="1130061" cy="216246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5069" cy="2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Selle nupu abil </w:t>
      </w:r>
      <w:r w:rsidR="00121B7C">
        <w:t>saa</w:t>
      </w:r>
      <w:r w:rsidR="00D715D4">
        <w:t>te</w:t>
      </w:r>
      <w:r>
        <w:t xml:space="preserve"> PRIA töötajaga enda arvuti ekraanipilti</w:t>
      </w:r>
      <w:r w:rsidR="00121B7C" w:rsidRPr="00121B7C">
        <w:t xml:space="preserve"> </w:t>
      </w:r>
      <w:r w:rsidR="00121B7C">
        <w:t>jagada</w:t>
      </w:r>
      <w:r>
        <w:t>, et PRIA töötajal oleks võimali</w:t>
      </w:r>
      <w:r w:rsidR="00121B7C">
        <w:t>k Teie probleemi paremini mõista</w:t>
      </w:r>
      <w:r w:rsidR="00D715D4">
        <w:t xml:space="preserve"> ja Teid juhendada</w:t>
      </w:r>
      <w:r>
        <w:t xml:space="preserve">. PRIA töötaja näeb üksnes sedasama e-PRIA </w:t>
      </w:r>
      <w:r>
        <w:lastRenderedPageBreak/>
        <w:t>vaadet, mis on Teie arvutiekraanil ning midagi muuta ega Teie eest valikuid ära teha ta ise ei saa. Samuti ei näe PRIA töötaja mingeid muid prog</w:t>
      </w:r>
      <w:r w:rsidR="00AB1262">
        <w:t>ramme ega andmeid Teie arvutis.</w:t>
      </w:r>
    </w:p>
    <w:p w14:paraId="0DC75EEE" w14:textId="0728F4EF" w:rsidR="009D01CB" w:rsidRDefault="008A7C4D" w:rsidP="008A7C4D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A7C4D">
        <w:rPr>
          <w:color w:val="000000"/>
        </w:rPr>
        <w:t xml:space="preserve">e-PRIA teenused </w:t>
      </w:r>
      <w:r w:rsidR="003E5BC9">
        <w:rPr>
          <w:color w:val="000000"/>
        </w:rPr>
        <w:t>on kasutatavad ööpäevaringselt. Telefoni teel vastame Teie küsimustele E-R kell 9.00</w:t>
      </w:r>
      <w:r w:rsidR="003E5BC9" w:rsidRPr="008A7C4D">
        <w:rPr>
          <w:color w:val="000000"/>
        </w:rPr>
        <w:t>-16.00</w:t>
      </w:r>
      <w:r w:rsidR="003E5BC9">
        <w:rPr>
          <w:color w:val="000000"/>
        </w:rPr>
        <w:t xml:space="preserve">. </w:t>
      </w:r>
      <w:r w:rsidR="00D0575D">
        <w:rPr>
          <w:color w:val="000000"/>
        </w:rPr>
        <w:t>PRIA maakondlikud teenindusbürood</w:t>
      </w:r>
      <w:r w:rsidR="00D715D4">
        <w:rPr>
          <w:color w:val="000000"/>
        </w:rPr>
        <w:t xml:space="preserve"> </w:t>
      </w:r>
      <w:r w:rsidR="00D0575D">
        <w:rPr>
          <w:color w:val="000000"/>
        </w:rPr>
        <w:t xml:space="preserve">on avatud </w:t>
      </w:r>
      <w:r w:rsidR="00D715D4">
        <w:rPr>
          <w:color w:val="000000"/>
        </w:rPr>
        <w:t>E-N k</w:t>
      </w:r>
      <w:r w:rsidR="00D0575D">
        <w:rPr>
          <w:color w:val="000000"/>
        </w:rPr>
        <w:t>el</w:t>
      </w:r>
      <w:r w:rsidR="00D715D4">
        <w:rPr>
          <w:color w:val="000000"/>
        </w:rPr>
        <w:t>l 9.00-16.00</w:t>
      </w:r>
      <w:r w:rsidR="003E5BC9">
        <w:rPr>
          <w:color w:val="000000"/>
        </w:rPr>
        <w:t xml:space="preserve">, vajadusel on Teil seal võimalik e-PRIA teenuste kasutamiseks kasutada kliendiarvutit. </w:t>
      </w:r>
    </w:p>
    <w:p w14:paraId="34919A0B" w14:textId="77777777" w:rsidR="00E41E79" w:rsidRDefault="00E41E79" w:rsidP="008A7C4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50CF59B5" w14:textId="77777777" w:rsidR="00E41E79" w:rsidRDefault="00E41E79" w:rsidP="008A7C4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sectPr w:rsidR="00E41E79" w:rsidSect="00E41E79">
      <w:footerReference w:type="default" r:id="rId26"/>
      <w:pgSz w:w="11906" w:h="16838"/>
      <w:pgMar w:top="113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E1E70" w14:textId="77777777" w:rsidR="003A2E7F" w:rsidRDefault="003A2E7F" w:rsidP="009F3244">
      <w:pPr>
        <w:spacing w:after="0" w:line="240" w:lineRule="auto"/>
      </w:pPr>
      <w:r>
        <w:separator/>
      </w:r>
    </w:p>
  </w:endnote>
  <w:endnote w:type="continuationSeparator" w:id="0">
    <w:p w14:paraId="49F28113" w14:textId="77777777" w:rsidR="003A2E7F" w:rsidRDefault="003A2E7F" w:rsidP="009F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559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2F6C8" w14:textId="45629BFB" w:rsidR="00391451" w:rsidRDefault="00391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0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6A37E2" w14:textId="77777777" w:rsidR="00391451" w:rsidRDefault="00391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8A1E" w14:textId="77777777" w:rsidR="003A2E7F" w:rsidRDefault="003A2E7F" w:rsidP="009F3244">
      <w:pPr>
        <w:spacing w:after="0" w:line="240" w:lineRule="auto"/>
      </w:pPr>
      <w:r>
        <w:separator/>
      </w:r>
    </w:p>
  </w:footnote>
  <w:footnote w:type="continuationSeparator" w:id="0">
    <w:p w14:paraId="5E8AAA3B" w14:textId="77777777" w:rsidR="003A2E7F" w:rsidRDefault="003A2E7F" w:rsidP="009F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784"/>
    <w:multiLevelType w:val="hybridMultilevel"/>
    <w:tmpl w:val="B49433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13707"/>
    <w:multiLevelType w:val="hybridMultilevel"/>
    <w:tmpl w:val="51F8EB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7CBD"/>
    <w:multiLevelType w:val="hybridMultilevel"/>
    <w:tmpl w:val="4F6408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6275"/>
    <w:multiLevelType w:val="hybridMultilevel"/>
    <w:tmpl w:val="EF985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D98"/>
    <w:multiLevelType w:val="multilevel"/>
    <w:tmpl w:val="654EF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23"/>
    <w:rsid w:val="000014F6"/>
    <w:rsid w:val="00030A79"/>
    <w:rsid w:val="00031424"/>
    <w:rsid w:val="0004591A"/>
    <w:rsid w:val="00060072"/>
    <w:rsid w:val="00084E71"/>
    <w:rsid w:val="0008501D"/>
    <w:rsid w:val="000A4D42"/>
    <w:rsid w:val="000A72A1"/>
    <w:rsid w:val="000B1023"/>
    <w:rsid w:val="000B6C9E"/>
    <w:rsid w:val="000B6DDD"/>
    <w:rsid w:val="000B7483"/>
    <w:rsid w:val="000C01E3"/>
    <w:rsid w:val="000C3718"/>
    <w:rsid w:val="000C3E7F"/>
    <w:rsid w:val="000C5DA2"/>
    <w:rsid w:val="000C6643"/>
    <w:rsid w:val="000E15D9"/>
    <w:rsid w:val="000F268C"/>
    <w:rsid w:val="001041DC"/>
    <w:rsid w:val="00106FE2"/>
    <w:rsid w:val="0011220B"/>
    <w:rsid w:val="00115D59"/>
    <w:rsid w:val="001167F2"/>
    <w:rsid w:val="00117AAC"/>
    <w:rsid w:val="001208D4"/>
    <w:rsid w:val="00121AD7"/>
    <w:rsid w:val="00121B7C"/>
    <w:rsid w:val="00127796"/>
    <w:rsid w:val="00135D2E"/>
    <w:rsid w:val="00142C25"/>
    <w:rsid w:val="00144710"/>
    <w:rsid w:val="00157F90"/>
    <w:rsid w:val="00165304"/>
    <w:rsid w:val="0016649D"/>
    <w:rsid w:val="001709BB"/>
    <w:rsid w:val="001972DA"/>
    <w:rsid w:val="001B1D3E"/>
    <w:rsid w:val="001C5280"/>
    <w:rsid w:val="001D5357"/>
    <w:rsid w:val="0020756A"/>
    <w:rsid w:val="00210A85"/>
    <w:rsid w:val="00210E0B"/>
    <w:rsid w:val="00233C58"/>
    <w:rsid w:val="0023422B"/>
    <w:rsid w:val="0023480E"/>
    <w:rsid w:val="002414B9"/>
    <w:rsid w:val="00244740"/>
    <w:rsid w:val="00246A52"/>
    <w:rsid w:val="00250686"/>
    <w:rsid w:val="00261C15"/>
    <w:rsid w:val="002670A2"/>
    <w:rsid w:val="00272E9E"/>
    <w:rsid w:val="00274083"/>
    <w:rsid w:val="00281BCA"/>
    <w:rsid w:val="00294B0D"/>
    <w:rsid w:val="0029758A"/>
    <w:rsid w:val="0029786C"/>
    <w:rsid w:val="002A6EB8"/>
    <w:rsid w:val="002C179F"/>
    <w:rsid w:val="002C3CE7"/>
    <w:rsid w:val="002C5D6A"/>
    <w:rsid w:val="002C70E5"/>
    <w:rsid w:val="002C7B28"/>
    <w:rsid w:val="002D5793"/>
    <w:rsid w:val="002E6559"/>
    <w:rsid w:val="003029A3"/>
    <w:rsid w:val="00324615"/>
    <w:rsid w:val="00331861"/>
    <w:rsid w:val="003435E0"/>
    <w:rsid w:val="003475A3"/>
    <w:rsid w:val="00360A4A"/>
    <w:rsid w:val="00364328"/>
    <w:rsid w:val="00376A03"/>
    <w:rsid w:val="00377EC0"/>
    <w:rsid w:val="00391451"/>
    <w:rsid w:val="0039455D"/>
    <w:rsid w:val="003A0822"/>
    <w:rsid w:val="003A2E7F"/>
    <w:rsid w:val="003B4ACD"/>
    <w:rsid w:val="003B7417"/>
    <w:rsid w:val="003C057E"/>
    <w:rsid w:val="003D381C"/>
    <w:rsid w:val="003D5C19"/>
    <w:rsid w:val="003E0ED9"/>
    <w:rsid w:val="003E5BC9"/>
    <w:rsid w:val="003F3266"/>
    <w:rsid w:val="0040344C"/>
    <w:rsid w:val="00412DC4"/>
    <w:rsid w:val="00414EAF"/>
    <w:rsid w:val="004278EA"/>
    <w:rsid w:val="004303AD"/>
    <w:rsid w:val="00437D11"/>
    <w:rsid w:val="00441F74"/>
    <w:rsid w:val="00451434"/>
    <w:rsid w:val="00456253"/>
    <w:rsid w:val="0046225B"/>
    <w:rsid w:val="00463358"/>
    <w:rsid w:val="0046661B"/>
    <w:rsid w:val="00492982"/>
    <w:rsid w:val="00495282"/>
    <w:rsid w:val="004A02AA"/>
    <w:rsid w:val="004A288A"/>
    <w:rsid w:val="004A294F"/>
    <w:rsid w:val="004B4061"/>
    <w:rsid w:val="004B78EB"/>
    <w:rsid w:val="004C4A9E"/>
    <w:rsid w:val="004F0C92"/>
    <w:rsid w:val="004F6C2C"/>
    <w:rsid w:val="00504FEE"/>
    <w:rsid w:val="00514086"/>
    <w:rsid w:val="00526F55"/>
    <w:rsid w:val="00543AA3"/>
    <w:rsid w:val="005610AC"/>
    <w:rsid w:val="00571A9C"/>
    <w:rsid w:val="00575017"/>
    <w:rsid w:val="00581712"/>
    <w:rsid w:val="005823EF"/>
    <w:rsid w:val="00585669"/>
    <w:rsid w:val="0058751A"/>
    <w:rsid w:val="005D29E7"/>
    <w:rsid w:val="005E00FE"/>
    <w:rsid w:val="005E0478"/>
    <w:rsid w:val="005F77B8"/>
    <w:rsid w:val="00602E16"/>
    <w:rsid w:val="0061700B"/>
    <w:rsid w:val="00624122"/>
    <w:rsid w:val="00626909"/>
    <w:rsid w:val="0064100C"/>
    <w:rsid w:val="00646448"/>
    <w:rsid w:val="0064696F"/>
    <w:rsid w:val="00652D5D"/>
    <w:rsid w:val="0065507E"/>
    <w:rsid w:val="006637AF"/>
    <w:rsid w:val="006643A0"/>
    <w:rsid w:val="00670560"/>
    <w:rsid w:val="00672560"/>
    <w:rsid w:val="00693296"/>
    <w:rsid w:val="0069606E"/>
    <w:rsid w:val="006A1145"/>
    <w:rsid w:val="006A5A4D"/>
    <w:rsid w:val="006A7A78"/>
    <w:rsid w:val="006B2D0D"/>
    <w:rsid w:val="006C13A7"/>
    <w:rsid w:val="006C5A62"/>
    <w:rsid w:val="006D62A5"/>
    <w:rsid w:val="006E2184"/>
    <w:rsid w:val="006E4432"/>
    <w:rsid w:val="006E7768"/>
    <w:rsid w:val="006F2A44"/>
    <w:rsid w:val="006F4F60"/>
    <w:rsid w:val="006F55DA"/>
    <w:rsid w:val="006F79A2"/>
    <w:rsid w:val="00714785"/>
    <w:rsid w:val="00754975"/>
    <w:rsid w:val="0076511E"/>
    <w:rsid w:val="00771A5A"/>
    <w:rsid w:val="00777D5E"/>
    <w:rsid w:val="007970F0"/>
    <w:rsid w:val="007A5D9E"/>
    <w:rsid w:val="007B0A27"/>
    <w:rsid w:val="007B1630"/>
    <w:rsid w:val="007C1223"/>
    <w:rsid w:val="007D174B"/>
    <w:rsid w:val="007D5A58"/>
    <w:rsid w:val="007F0EEC"/>
    <w:rsid w:val="00806C24"/>
    <w:rsid w:val="00822B25"/>
    <w:rsid w:val="0083423C"/>
    <w:rsid w:val="00846483"/>
    <w:rsid w:val="00852EF9"/>
    <w:rsid w:val="00853B24"/>
    <w:rsid w:val="00861F4D"/>
    <w:rsid w:val="00863735"/>
    <w:rsid w:val="0088473C"/>
    <w:rsid w:val="00885202"/>
    <w:rsid w:val="00887738"/>
    <w:rsid w:val="00892AEE"/>
    <w:rsid w:val="008954E1"/>
    <w:rsid w:val="008A0A97"/>
    <w:rsid w:val="008A10AF"/>
    <w:rsid w:val="008A7C4D"/>
    <w:rsid w:val="008B2A30"/>
    <w:rsid w:val="008B5364"/>
    <w:rsid w:val="008B6198"/>
    <w:rsid w:val="008C265D"/>
    <w:rsid w:val="008C2D6A"/>
    <w:rsid w:val="008D1069"/>
    <w:rsid w:val="008D2852"/>
    <w:rsid w:val="008D3049"/>
    <w:rsid w:val="008E04C2"/>
    <w:rsid w:val="008E7E0A"/>
    <w:rsid w:val="008F32CE"/>
    <w:rsid w:val="00904EDF"/>
    <w:rsid w:val="00917F85"/>
    <w:rsid w:val="00930297"/>
    <w:rsid w:val="009326EF"/>
    <w:rsid w:val="00933819"/>
    <w:rsid w:val="00934C2C"/>
    <w:rsid w:val="0095079C"/>
    <w:rsid w:val="00950F86"/>
    <w:rsid w:val="009558AC"/>
    <w:rsid w:val="0095758A"/>
    <w:rsid w:val="009714DB"/>
    <w:rsid w:val="009807F7"/>
    <w:rsid w:val="00986C6B"/>
    <w:rsid w:val="009902CD"/>
    <w:rsid w:val="00991112"/>
    <w:rsid w:val="009A7060"/>
    <w:rsid w:val="009B28F0"/>
    <w:rsid w:val="009B3062"/>
    <w:rsid w:val="009D01CB"/>
    <w:rsid w:val="009D03A6"/>
    <w:rsid w:val="009E29E1"/>
    <w:rsid w:val="009E3D07"/>
    <w:rsid w:val="009F3244"/>
    <w:rsid w:val="009F5B3D"/>
    <w:rsid w:val="00A23EA4"/>
    <w:rsid w:val="00A51284"/>
    <w:rsid w:val="00A70FA2"/>
    <w:rsid w:val="00A80D66"/>
    <w:rsid w:val="00A81001"/>
    <w:rsid w:val="00A8747A"/>
    <w:rsid w:val="00AA3082"/>
    <w:rsid w:val="00AB0581"/>
    <w:rsid w:val="00AB1262"/>
    <w:rsid w:val="00AB2002"/>
    <w:rsid w:val="00AD7B55"/>
    <w:rsid w:val="00AF3023"/>
    <w:rsid w:val="00B05E8E"/>
    <w:rsid w:val="00B25F52"/>
    <w:rsid w:val="00B60BEF"/>
    <w:rsid w:val="00B631BD"/>
    <w:rsid w:val="00B658B1"/>
    <w:rsid w:val="00B66DB6"/>
    <w:rsid w:val="00B72B0A"/>
    <w:rsid w:val="00B82F22"/>
    <w:rsid w:val="00BA5A65"/>
    <w:rsid w:val="00BC7A9C"/>
    <w:rsid w:val="00BD1482"/>
    <w:rsid w:val="00BD30BD"/>
    <w:rsid w:val="00BE0829"/>
    <w:rsid w:val="00BE2E69"/>
    <w:rsid w:val="00BE46CF"/>
    <w:rsid w:val="00BE5069"/>
    <w:rsid w:val="00BE7108"/>
    <w:rsid w:val="00BF3BF3"/>
    <w:rsid w:val="00BF4832"/>
    <w:rsid w:val="00BF5867"/>
    <w:rsid w:val="00C05892"/>
    <w:rsid w:val="00C22B67"/>
    <w:rsid w:val="00C22BE9"/>
    <w:rsid w:val="00C34FC4"/>
    <w:rsid w:val="00C3609A"/>
    <w:rsid w:val="00C428E9"/>
    <w:rsid w:val="00C449B4"/>
    <w:rsid w:val="00C460C2"/>
    <w:rsid w:val="00C7648F"/>
    <w:rsid w:val="00C77B4E"/>
    <w:rsid w:val="00CB66B7"/>
    <w:rsid w:val="00CC4BC5"/>
    <w:rsid w:val="00CC75DF"/>
    <w:rsid w:val="00CE6CF4"/>
    <w:rsid w:val="00CE74C2"/>
    <w:rsid w:val="00D02986"/>
    <w:rsid w:val="00D0575D"/>
    <w:rsid w:val="00D06117"/>
    <w:rsid w:val="00D3396D"/>
    <w:rsid w:val="00D425D2"/>
    <w:rsid w:val="00D4513C"/>
    <w:rsid w:val="00D47B33"/>
    <w:rsid w:val="00D507F8"/>
    <w:rsid w:val="00D532FE"/>
    <w:rsid w:val="00D57D40"/>
    <w:rsid w:val="00D66F77"/>
    <w:rsid w:val="00D6754D"/>
    <w:rsid w:val="00D715D4"/>
    <w:rsid w:val="00D75588"/>
    <w:rsid w:val="00D80FD1"/>
    <w:rsid w:val="00D85ACE"/>
    <w:rsid w:val="00DB29A7"/>
    <w:rsid w:val="00DC205D"/>
    <w:rsid w:val="00DC656C"/>
    <w:rsid w:val="00DD0130"/>
    <w:rsid w:val="00DF6FD3"/>
    <w:rsid w:val="00DF75BF"/>
    <w:rsid w:val="00E11F85"/>
    <w:rsid w:val="00E3060C"/>
    <w:rsid w:val="00E41E79"/>
    <w:rsid w:val="00E56495"/>
    <w:rsid w:val="00E7156F"/>
    <w:rsid w:val="00EA124E"/>
    <w:rsid w:val="00EB6C90"/>
    <w:rsid w:val="00EC72DF"/>
    <w:rsid w:val="00ED2193"/>
    <w:rsid w:val="00EE6DED"/>
    <w:rsid w:val="00F04C44"/>
    <w:rsid w:val="00F16759"/>
    <w:rsid w:val="00F27D0B"/>
    <w:rsid w:val="00F35B84"/>
    <w:rsid w:val="00F4318B"/>
    <w:rsid w:val="00F43380"/>
    <w:rsid w:val="00F51DF6"/>
    <w:rsid w:val="00F52C1F"/>
    <w:rsid w:val="00F73BC5"/>
    <w:rsid w:val="00F8292A"/>
    <w:rsid w:val="00F832C2"/>
    <w:rsid w:val="00F86B56"/>
    <w:rsid w:val="00F92997"/>
    <w:rsid w:val="00F9730B"/>
    <w:rsid w:val="00FA72EE"/>
    <w:rsid w:val="00FA7DA4"/>
    <w:rsid w:val="00FB2F10"/>
    <w:rsid w:val="00FC5FF6"/>
    <w:rsid w:val="00FD1115"/>
    <w:rsid w:val="00FD45AF"/>
    <w:rsid w:val="00FE3D6F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43F4"/>
  <w15:chartTrackingRefBased/>
  <w15:docId w15:val="{8D2F9AFF-DADD-45D7-8A37-D4AA9FE3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4C2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B3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7B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3244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F324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3244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F3244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rsid w:val="00FD4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45AF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D45AF"/>
    <w:rPr>
      <w:rFonts w:eastAsia="Times New Roman"/>
    </w:rPr>
  </w:style>
  <w:style w:type="character" w:styleId="Hyperlink">
    <w:name w:val="Hyperlink"/>
    <w:semiHidden/>
    <w:rsid w:val="002C5D6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D30BD"/>
    <w:rPr>
      <w:color w:val="800080"/>
      <w:u w:val="single"/>
    </w:rPr>
  </w:style>
  <w:style w:type="character" w:styleId="Strong">
    <w:name w:val="Strong"/>
    <w:uiPriority w:val="22"/>
    <w:qFormat/>
    <w:rsid w:val="006E2184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E71"/>
    <w:pPr>
      <w:spacing w:after="200" w:line="276" w:lineRule="auto"/>
    </w:pPr>
    <w:rPr>
      <w:rFonts w:eastAsia="Calibri"/>
      <w:b/>
      <w:bCs/>
      <w:lang w:val="et-EE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084E71"/>
    <w:rPr>
      <w:rFonts w:eastAsia="Times New Roman"/>
      <w:b/>
      <w:bCs/>
      <w:lang w:eastAsia="en-US"/>
    </w:rPr>
  </w:style>
  <w:style w:type="character" w:customStyle="1" w:styleId="ng-binding">
    <w:name w:val="ng-binding"/>
    <w:basedOn w:val="DefaultParagraphFont"/>
    <w:rsid w:val="00364328"/>
  </w:style>
  <w:style w:type="character" w:customStyle="1" w:styleId="inline-comment-marker">
    <w:name w:val="inline-comment-marker"/>
    <w:basedOn w:val="DefaultParagraphFont"/>
    <w:rsid w:val="00543AA3"/>
  </w:style>
  <w:style w:type="paragraph" w:customStyle="1" w:styleId="Default">
    <w:name w:val="Default"/>
    <w:rsid w:val="005E047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4E9B-415E-4DE5-BEA7-E8E3ECA1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5107</CharactersWithSpaces>
  <SharedDoc>false</SharedDoc>
  <HLinks>
    <vt:vector size="24" baseType="variant">
      <vt:variant>
        <vt:i4>1966163</vt:i4>
      </vt:variant>
      <vt:variant>
        <vt:i4>9</vt:i4>
      </vt:variant>
      <vt:variant>
        <vt:i4>0</vt:i4>
      </vt:variant>
      <vt:variant>
        <vt:i4>5</vt:i4>
      </vt:variant>
      <vt:variant>
        <vt:lpwstr>http://www.pria.ee/et/ePRIA/Volitamine/ePRIAvolikiri</vt:lpwstr>
      </vt:variant>
      <vt:variant>
        <vt:lpwstr/>
      </vt:variant>
      <vt:variant>
        <vt:i4>4128786</vt:i4>
      </vt:variant>
      <vt:variant>
        <vt:i4>6</vt:i4>
      </vt:variant>
      <vt:variant>
        <vt:i4>0</vt:i4>
      </vt:variant>
      <vt:variant>
        <vt:i4>5</vt:i4>
      </vt:variant>
      <vt:variant>
        <vt:lpwstr>mailto:kliendiregister@pria.ee</vt:lpwstr>
      </vt:variant>
      <vt:variant>
        <vt:lpwstr/>
      </vt:variant>
      <vt:variant>
        <vt:i4>4456490</vt:i4>
      </vt:variant>
      <vt:variant>
        <vt:i4>3</vt:i4>
      </vt:variant>
      <vt:variant>
        <vt:i4>0</vt:i4>
      </vt:variant>
      <vt:variant>
        <vt:i4>5</vt:i4>
      </vt:variant>
      <vt:variant>
        <vt:lpwstr>\\arib\pria\kodukataloogid\keskus\aardo\meetmed\AppData\Local\Microsoft\Windows\Temporary Internet Files\Content.Outlook\FNAV12ZG\www.pria.ee\et\ePRIA\Leping\Lepingjuriidiliseleisikule</vt:lpwstr>
      </vt:variant>
      <vt:variant>
        <vt:lpwstr/>
      </vt:variant>
      <vt:variant>
        <vt:i4>4128786</vt:i4>
      </vt:variant>
      <vt:variant>
        <vt:i4>0</vt:i4>
      </vt:variant>
      <vt:variant>
        <vt:i4>0</vt:i4>
      </vt:variant>
      <vt:variant>
        <vt:i4>5</vt:i4>
      </vt:variant>
      <vt:variant>
        <vt:lpwstr>mailto:kliendiregister@pria.ee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Aardo Külaots</dc:creator>
  <cp:keywords/>
  <cp:lastModifiedBy>Ülle Märss</cp:lastModifiedBy>
  <cp:revision>2</cp:revision>
  <cp:lastPrinted>2011-09-27T06:52:00Z</cp:lastPrinted>
  <dcterms:created xsi:type="dcterms:W3CDTF">2020-01-24T06:50:00Z</dcterms:created>
  <dcterms:modified xsi:type="dcterms:W3CDTF">2020-01-24T06:50:00Z</dcterms:modified>
</cp:coreProperties>
</file>