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7DC96" w14:textId="77777777" w:rsidR="004D33AE" w:rsidRPr="002A578D" w:rsidRDefault="004D33AE" w:rsidP="0060581A">
      <w:pPr>
        <w:keepNext/>
        <w:keepLines/>
        <w:suppressLineNumbers/>
        <w:autoSpaceDE/>
        <w:autoSpaceDN/>
        <w:jc w:val="right"/>
        <w:rPr>
          <w:rFonts w:eastAsia="SimSun"/>
          <w:b/>
          <w:bCs/>
          <w:kern w:val="1"/>
          <w:sz w:val="20"/>
          <w:szCs w:val="20"/>
          <w:lang w:eastAsia="zh-CN" w:bidi="hi-IN"/>
        </w:rPr>
      </w:pPr>
      <w:bookmarkStart w:id="0" w:name="_GoBack"/>
      <w:bookmarkEnd w:id="0"/>
    </w:p>
    <w:p w14:paraId="34BE40D4" w14:textId="77777777" w:rsidR="00FA7F23" w:rsidRPr="002A578D" w:rsidRDefault="00FA7F23" w:rsidP="000F3352">
      <w:pPr>
        <w:rPr>
          <w:b/>
          <w:bCs/>
        </w:rPr>
      </w:pPr>
      <w:r w:rsidRPr="002A578D">
        <w:rPr>
          <w:noProof/>
          <w:lang w:eastAsia="et-EE"/>
        </w:rPr>
        <mc:AlternateContent>
          <mc:Choice Requires="wps">
            <w:drawing>
              <wp:anchor distT="0" distB="0" distL="114300" distR="114300" simplePos="0" relativeHeight="251659264" behindDoc="0" locked="0" layoutInCell="1" allowOverlap="1" wp14:anchorId="47FE607D" wp14:editId="04C87661">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5D3E900E" w14:textId="27E0A6B7" w:rsidR="000F2897" w:rsidRDefault="000F2897"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FE607D"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5D3E900E" w14:textId="27E0A6B7" w:rsidR="000F2897" w:rsidRDefault="000F2897" w:rsidP="000F3352">
                      <w:pPr>
                        <w:rPr>
                          <w:sz w:val="20"/>
                          <w:szCs w:val="20"/>
                        </w:rPr>
                      </w:pPr>
                    </w:p>
                  </w:txbxContent>
                </v:textbox>
              </v:shape>
            </w:pict>
          </mc:Fallback>
        </mc:AlternateContent>
      </w:r>
    </w:p>
    <w:p w14:paraId="01C9DC50" w14:textId="77777777" w:rsidR="0060581A" w:rsidRPr="002A578D" w:rsidRDefault="0060581A" w:rsidP="000F3352">
      <w:pPr>
        <w:rPr>
          <w:b/>
          <w:bCs/>
        </w:rPr>
      </w:pPr>
    </w:p>
    <w:p w14:paraId="38158DA1" w14:textId="77777777" w:rsidR="0060581A" w:rsidRPr="002A578D" w:rsidRDefault="0060581A" w:rsidP="0060581A">
      <w:pPr>
        <w:rPr>
          <w:b/>
          <w:bCs/>
        </w:rPr>
      </w:pPr>
    </w:p>
    <w:p w14:paraId="2DE7258B" w14:textId="77777777" w:rsidR="005560E8" w:rsidRPr="002A578D" w:rsidRDefault="005560E8" w:rsidP="0060581A">
      <w:pPr>
        <w:rPr>
          <w:b/>
          <w:bCs/>
        </w:rPr>
      </w:pPr>
    </w:p>
    <w:p w14:paraId="17981DFD" w14:textId="77777777" w:rsidR="002D6483" w:rsidRPr="002A578D" w:rsidRDefault="002D6483" w:rsidP="002D6483">
      <w:pPr>
        <w:jc w:val="center"/>
        <w:rPr>
          <w:b/>
          <w:bCs/>
        </w:rPr>
      </w:pPr>
      <w:r w:rsidRPr="002A578D">
        <w:rPr>
          <w:b/>
          <w:bCs/>
        </w:rPr>
        <w:t>SELETUSKIRI</w:t>
      </w:r>
    </w:p>
    <w:p w14:paraId="41C33A3E" w14:textId="02330383" w:rsidR="002D6483" w:rsidRPr="002A578D" w:rsidRDefault="005D7BF1" w:rsidP="002D6483">
      <w:pPr>
        <w:jc w:val="center"/>
        <w:rPr>
          <w:b/>
          <w:bCs/>
        </w:rPr>
      </w:pPr>
      <w:r>
        <w:rPr>
          <w:b/>
          <w:bCs/>
        </w:rPr>
        <w:t>m</w:t>
      </w:r>
      <w:r w:rsidR="00CC2ABD" w:rsidRPr="002A578D">
        <w:rPr>
          <w:b/>
          <w:bCs/>
        </w:rPr>
        <w:t>aaelu</w:t>
      </w:r>
      <w:r w:rsidR="002D6483" w:rsidRPr="002A578D">
        <w:rPr>
          <w:b/>
          <w:bCs/>
        </w:rPr>
        <w:t>ministri määruse „</w:t>
      </w:r>
      <w:r w:rsidR="00CC2ABD" w:rsidRPr="002A578D">
        <w:rPr>
          <w:b/>
          <w:bCs/>
        </w:rPr>
        <w:t xml:space="preserve">Maaeluministri </w:t>
      </w:r>
      <w:r w:rsidR="00F01526">
        <w:rPr>
          <w:b/>
          <w:bCs/>
        </w:rPr>
        <w:t>30</w:t>
      </w:r>
      <w:r w:rsidR="008C78A0">
        <w:rPr>
          <w:b/>
          <w:bCs/>
        </w:rPr>
        <w:t>. septembri</w:t>
      </w:r>
      <w:r w:rsidR="00CC2ABD" w:rsidRPr="002A578D">
        <w:rPr>
          <w:b/>
          <w:bCs/>
        </w:rPr>
        <w:t xml:space="preserve"> 2015. a määruse nr</w:t>
      </w:r>
      <w:r w:rsidR="00F01526">
        <w:rPr>
          <w:b/>
          <w:bCs/>
        </w:rPr>
        <w:t xml:space="preserve"> 6</w:t>
      </w:r>
      <w:r w:rsidR="008C78A0">
        <w:rPr>
          <w:b/>
          <w:bCs/>
        </w:rPr>
        <w:t xml:space="preserve"> „</w:t>
      </w:r>
      <w:r w:rsidR="00F01526">
        <w:rPr>
          <w:b/>
          <w:bCs/>
        </w:rPr>
        <w:t xml:space="preserve">Tunnustatud tootjarühma </w:t>
      </w:r>
      <w:r w:rsidR="00CC2ABD" w:rsidRPr="002A578D">
        <w:rPr>
          <w:b/>
          <w:bCs/>
        </w:rPr>
        <w:t>põll</w:t>
      </w:r>
      <w:r w:rsidR="00F01526">
        <w:rPr>
          <w:b/>
          <w:bCs/>
        </w:rPr>
        <w:t>umajandustoodete töötlemise ja</w:t>
      </w:r>
      <w:r w:rsidR="00CC2ABD" w:rsidRPr="002A578D">
        <w:rPr>
          <w:b/>
          <w:bCs/>
        </w:rPr>
        <w:t xml:space="preserve"> turustamise investeeringutoetus</w:t>
      </w:r>
      <w:r w:rsidR="001F6762" w:rsidRPr="002A578D">
        <w:rPr>
          <w:b/>
          <w:bCs/>
        </w:rPr>
        <w:t>“</w:t>
      </w:r>
      <w:r w:rsidR="00CC2ABD" w:rsidRPr="002A578D">
        <w:rPr>
          <w:b/>
          <w:bCs/>
        </w:rPr>
        <w:t xml:space="preserve"> muutmine“</w:t>
      </w:r>
      <w:r w:rsidR="002D6483" w:rsidRPr="002A578D">
        <w:rPr>
          <w:b/>
          <w:bCs/>
        </w:rPr>
        <w:t xml:space="preserve"> eelnõu juurde</w:t>
      </w:r>
    </w:p>
    <w:p w14:paraId="799E335D" w14:textId="77777777" w:rsidR="002D6483" w:rsidRPr="002A578D" w:rsidRDefault="002D6483" w:rsidP="002D6483">
      <w:pPr>
        <w:rPr>
          <w:b/>
          <w:bCs/>
        </w:rPr>
      </w:pPr>
    </w:p>
    <w:p w14:paraId="452564A1" w14:textId="77777777" w:rsidR="002D6483" w:rsidRPr="002A578D" w:rsidRDefault="002D6483" w:rsidP="002D6483">
      <w:pPr>
        <w:rPr>
          <w:b/>
          <w:bCs/>
        </w:rPr>
      </w:pPr>
      <w:r w:rsidRPr="002A578D">
        <w:rPr>
          <w:b/>
          <w:bCs/>
        </w:rPr>
        <w:t>1. Sissejuhatus</w:t>
      </w:r>
    </w:p>
    <w:p w14:paraId="4692596B" w14:textId="77777777" w:rsidR="002D6483" w:rsidRPr="002A578D" w:rsidRDefault="002D6483" w:rsidP="002D6483">
      <w:pPr>
        <w:rPr>
          <w:b/>
          <w:bCs/>
        </w:rPr>
      </w:pPr>
    </w:p>
    <w:p w14:paraId="777D2B0B" w14:textId="77777777" w:rsidR="0058025F" w:rsidRPr="002A578D" w:rsidRDefault="0058025F" w:rsidP="004356F0">
      <w:pPr>
        <w:jc w:val="both"/>
      </w:pPr>
      <w:r w:rsidRPr="002A578D">
        <w:t xml:space="preserve">Maaeluministri määrus kehtestatakse Euroopa Liidu ühise põllumajanduspoliitika rakendamise seaduse (edaspidi </w:t>
      </w:r>
      <w:r w:rsidRPr="002A578D">
        <w:rPr>
          <w:i/>
        </w:rPr>
        <w:t>ELÜPS</w:t>
      </w:r>
      <w:r w:rsidRPr="002A578D">
        <w:t>) § 67 lõike 2 ja § 82 lõike 3</w:t>
      </w:r>
      <w:r w:rsidR="005D7BF1">
        <w:t xml:space="preserve"> alusel</w:t>
      </w:r>
      <w:r w:rsidR="00B16C16" w:rsidRPr="002A578D">
        <w:t>.</w:t>
      </w:r>
    </w:p>
    <w:p w14:paraId="17E948A6" w14:textId="77777777" w:rsidR="0058025F" w:rsidRPr="002A578D" w:rsidRDefault="0058025F" w:rsidP="004356F0">
      <w:pPr>
        <w:jc w:val="both"/>
      </w:pPr>
    </w:p>
    <w:p w14:paraId="6B94C153" w14:textId="77777777" w:rsidR="0058025F" w:rsidRPr="002A578D" w:rsidRDefault="0058025F" w:rsidP="004356F0">
      <w:pPr>
        <w:jc w:val="both"/>
      </w:pPr>
      <w:r w:rsidRPr="002A578D">
        <w:t xml:space="preserve">Maaelu arengu toetusi antakse “Eesti maaelu arengukava 2014–2020” (edaspidi </w:t>
      </w:r>
      <w:r w:rsidRPr="002A578D">
        <w:rPr>
          <w:i/>
        </w:rPr>
        <w:t>arengukava</w:t>
      </w:r>
      <w:r w:rsidRPr="002A578D">
        <w:t>) alusel, mis kinnitati Euroopa Komisjoni 13. veebruari 2015. a rakendusotsusega, millega kiidetakse heaks Eesti maaelu arengu programmile Euroopa Maaelu Arengu Põllumajandusfondist toetuse andmine.</w:t>
      </w:r>
    </w:p>
    <w:p w14:paraId="44C96FC2" w14:textId="77777777" w:rsidR="0058025F" w:rsidRPr="002A578D" w:rsidRDefault="0058025F" w:rsidP="004356F0">
      <w:pPr>
        <w:jc w:val="both"/>
      </w:pPr>
    </w:p>
    <w:p w14:paraId="2CEFD450" w14:textId="27B5B5B2" w:rsidR="00020F13" w:rsidRDefault="00A87422" w:rsidP="004356F0">
      <w:pPr>
        <w:jc w:val="both"/>
      </w:pPr>
      <w:r w:rsidRPr="002A578D">
        <w:t xml:space="preserve">Maaeluministri </w:t>
      </w:r>
      <w:r w:rsidR="00F01526">
        <w:t>30</w:t>
      </w:r>
      <w:r w:rsidR="008C78A0">
        <w:t>. septembri</w:t>
      </w:r>
      <w:r w:rsidRPr="002A578D">
        <w:t xml:space="preserve"> 2015. a määruse</w:t>
      </w:r>
      <w:r w:rsidR="00A460FB" w:rsidRPr="002A578D">
        <w:t>s</w:t>
      </w:r>
      <w:r w:rsidR="00F01526">
        <w:t xml:space="preserve"> nr 6</w:t>
      </w:r>
      <w:r w:rsidR="008C78A0">
        <w:t xml:space="preserve"> „</w:t>
      </w:r>
      <w:r w:rsidR="00F01526">
        <w:t xml:space="preserve">Tunnustatud tootjarühma </w:t>
      </w:r>
      <w:r w:rsidRPr="002A578D">
        <w:t>põll</w:t>
      </w:r>
      <w:r w:rsidR="00F01526">
        <w:t>umajandustoodete töötlemise ja</w:t>
      </w:r>
      <w:r w:rsidRPr="002A578D">
        <w:t xml:space="preserve"> turustamise investeeringutoetus“ </w:t>
      </w:r>
      <w:r w:rsidR="00BF4FAD" w:rsidRPr="002A578D">
        <w:t xml:space="preserve">(edaspidi </w:t>
      </w:r>
      <w:r w:rsidR="00BF4FAD" w:rsidRPr="002A578D">
        <w:rPr>
          <w:i/>
        </w:rPr>
        <w:t>määrus</w:t>
      </w:r>
      <w:r w:rsidR="00BF4FAD" w:rsidRPr="002A578D">
        <w:t xml:space="preserve">) </w:t>
      </w:r>
      <w:r w:rsidR="00A460FB" w:rsidRPr="002A578D">
        <w:t xml:space="preserve">tehakse vajalikud </w:t>
      </w:r>
      <w:r w:rsidRPr="002A578D">
        <w:t xml:space="preserve">muudatused tulenevalt </w:t>
      </w:r>
      <w:r w:rsidR="004F2A5F" w:rsidRPr="002A578D">
        <w:t>elektroonsele taotlemisele ja menetlemisele</w:t>
      </w:r>
      <w:r w:rsidR="00A460FB" w:rsidRPr="002A578D">
        <w:t xml:space="preserve"> üleminekust</w:t>
      </w:r>
      <w:r w:rsidR="004F2A5F" w:rsidRPr="002A578D">
        <w:t xml:space="preserve">: </w:t>
      </w:r>
      <w:r w:rsidR="00F01526">
        <w:t xml:space="preserve">tunnustatud tootjarühma </w:t>
      </w:r>
      <w:r w:rsidR="00C27EE8" w:rsidRPr="002A578D">
        <w:t>põll</w:t>
      </w:r>
      <w:r w:rsidR="00F01526">
        <w:t>umajandustoodete töötlemise ja</w:t>
      </w:r>
      <w:r w:rsidR="00C27EE8" w:rsidRPr="002A578D">
        <w:t xml:space="preserve"> turustamise investeeringutoetuse (edaspidi </w:t>
      </w:r>
      <w:r w:rsidR="004F2A5F" w:rsidRPr="002A578D">
        <w:rPr>
          <w:i/>
        </w:rPr>
        <w:t>toetus</w:t>
      </w:r>
      <w:r w:rsidR="00C27EE8" w:rsidRPr="002A578D">
        <w:t>)</w:t>
      </w:r>
      <w:r w:rsidR="004F2A5F" w:rsidRPr="002A578D">
        <w:t xml:space="preserve"> taotlus</w:t>
      </w:r>
      <w:r w:rsidR="00C7376C">
        <w:t>i</w:t>
      </w:r>
      <w:r w:rsidR="004F2A5F" w:rsidRPr="002A578D">
        <w:t xml:space="preserve"> </w:t>
      </w:r>
      <w:r w:rsidR="00C7376C">
        <w:t>võetakse</w:t>
      </w:r>
      <w:r w:rsidR="004F2A5F" w:rsidRPr="002A578D">
        <w:t xml:space="preserve"> edaspidi</w:t>
      </w:r>
      <w:r w:rsidR="00C7376C">
        <w:t xml:space="preserve"> vastu</w:t>
      </w:r>
      <w:r w:rsidR="004F2A5F" w:rsidRPr="002A578D">
        <w:t xml:space="preserve"> </w:t>
      </w:r>
      <w:r w:rsidR="007921FC">
        <w:t>üksnes</w:t>
      </w:r>
      <w:r w:rsidR="00143693">
        <w:t xml:space="preserve"> </w:t>
      </w:r>
      <w:r w:rsidR="00BF4FAD" w:rsidRPr="002A578D">
        <w:t xml:space="preserve">Põllumajanduse Registrite ja Informatsiooni Ameti (edaspidi </w:t>
      </w:r>
      <w:r w:rsidR="004F2A5F" w:rsidRPr="002A578D">
        <w:rPr>
          <w:i/>
        </w:rPr>
        <w:t>PRIA</w:t>
      </w:r>
      <w:r w:rsidR="00BF4FAD" w:rsidRPr="002A578D">
        <w:t>)</w:t>
      </w:r>
      <w:r w:rsidR="004F2A5F" w:rsidRPr="002A578D">
        <w:t xml:space="preserve"> e-teenuse keskkonna kaudu. </w:t>
      </w:r>
      <w:r w:rsidR="00A460FB" w:rsidRPr="002A578D">
        <w:t xml:space="preserve">Teine oluline muudatus tuleneb </w:t>
      </w:r>
      <w:r w:rsidR="005D7BF1">
        <w:t>k</w:t>
      </w:r>
      <w:r w:rsidR="00A5538D" w:rsidRPr="002A578D">
        <w:t>omisjoni määruse</w:t>
      </w:r>
      <w:r w:rsidR="00703841" w:rsidRPr="002A578D">
        <w:t xml:space="preserve"> (EL) nr 651/2014 ELi aluslepingu artiklite 107 ja 108 kohaldamise kohta, millega teatavat liiki abi tunnistatakse siseturuga kokkusobivaks </w:t>
      </w:r>
      <w:r w:rsidR="00857D7C" w:rsidRPr="002A578D">
        <w:t xml:space="preserve">(ELT L 187, 26.06.2014, lk 1–78), </w:t>
      </w:r>
      <w:r w:rsidR="00703841" w:rsidRPr="002A578D">
        <w:t>muutmisest</w:t>
      </w:r>
      <w:r w:rsidR="00A460FB" w:rsidRPr="002A578D">
        <w:t>, mille kohaselt</w:t>
      </w:r>
      <w:r w:rsidR="00703841" w:rsidRPr="002A578D">
        <w:t xml:space="preserve"> pea</w:t>
      </w:r>
      <w:r w:rsidR="0027548B" w:rsidRPr="002A578D">
        <w:t>b</w:t>
      </w:r>
      <w:r w:rsidR="00F6135B" w:rsidRPr="002A578D">
        <w:t xml:space="preserve"> </w:t>
      </w:r>
      <w:r w:rsidR="00F1317C" w:rsidRPr="002A578D">
        <w:t xml:space="preserve">toetuse taotleja </w:t>
      </w:r>
      <w:r w:rsidR="005D7BF1" w:rsidRPr="002A578D">
        <w:t xml:space="preserve">edaspidi </w:t>
      </w:r>
      <w:r w:rsidR="00E001D4">
        <w:t>kinnitama</w:t>
      </w:r>
      <w:r w:rsidR="00857D7C" w:rsidRPr="002A578D">
        <w:t xml:space="preserve">, </w:t>
      </w:r>
      <w:r w:rsidR="00F80FB5" w:rsidRPr="002A578D">
        <w:t xml:space="preserve">et </w:t>
      </w:r>
      <w:r w:rsidR="00020F13" w:rsidRPr="00020F13">
        <w:t xml:space="preserve">kahe aasta jooksul enne taotluse esitamist ei ole toimunud sama või sarnase tegevuse või selle osa </w:t>
      </w:r>
      <w:r w:rsidR="001B7069">
        <w:t>ümberpaigutamist</w:t>
      </w:r>
      <w:r w:rsidR="00020F13" w:rsidRPr="00020F13">
        <w:t xml:space="preserve"> sellesse ettevõttesse, kuhu taotletava toetuse abil </w:t>
      </w:r>
      <w:r w:rsidR="001B7069">
        <w:t xml:space="preserve">tehakse </w:t>
      </w:r>
      <w:r w:rsidR="00020F13" w:rsidRPr="00020F13">
        <w:t xml:space="preserve">investeering. Lisaks peab toetuse saaja kinnitama, et kahe aasta jooksul arvates toetuse väljamaksmisest ei toimu </w:t>
      </w:r>
      <w:r w:rsidR="001B7069" w:rsidRPr="001B7069">
        <w:t xml:space="preserve">sama või sarnase tegevuse või selle osa </w:t>
      </w:r>
      <w:r w:rsidR="00020F13" w:rsidRPr="00020F13">
        <w:t>ümberpaigutamist</w:t>
      </w:r>
      <w:r w:rsidR="001B7069">
        <w:t xml:space="preserve"> sellest ettevõttest</w:t>
      </w:r>
      <w:r w:rsidR="00020F13" w:rsidRPr="00020F13">
        <w:t xml:space="preserve">, kuhu </w:t>
      </w:r>
      <w:r w:rsidR="001B7069">
        <w:t>saadud</w:t>
      </w:r>
      <w:r w:rsidR="00020F13" w:rsidRPr="00020F13">
        <w:t xml:space="preserve"> toetuse abi</w:t>
      </w:r>
      <w:r w:rsidR="001B7069">
        <w:t>l</w:t>
      </w:r>
      <w:r w:rsidR="00020F13" w:rsidRPr="00020F13">
        <w:t xml:space="preserve"> on investeering tehtud.</w:t>
      </w:r>
      <w:r w:rsidR="0079648F" w:rsidRPr="0079648F">
        <w:t xml:space="preserve"> </w:t>
      </w:r>
      <w:r w:rsidR="0079648F">
        <w:t xml:space="preserve">Samuti muudetakse määrust </w:t>
      </w:r>
      <w:r w:rsidR="000E29C1">
        <w:t xml:space="preserve">seoses </w:t>
      </w:r>
      <w:r w:rsidR="0079648F" w:rsidRPr="0079648F">
        <w:t>liisingumaksete abikõlblikkuse</w:t>
      </w:r>
      <w:r w:rsidR="0079648F">
        <w:t xml:space="preserve"> </w:t>
      </w:r>
      <w:r w:rsidR="0079648F" w:rsidRPr="0079648F">
        <w:t xml:space="preserve">maksimaalse tähtaja lühendamisega. Kui varem pidi liisingu puhul asja omandiõigus üle minema toetuse saajale viie aasta möödudes arvates </w:t>
      </w:r>
      <w:r w:rsidR="0079648F">
        <w:t>PRIA</w:t>
      </w:r>
      <w:r w:rsidR="0079648F" w:rsidRPr="0079648F">
        <w:t xml:space="preserve"> poolt taotluse rahuldamise otsuse tegemisest, kuid hiljemalt 2023. aasta 31. detsembril, siis muudatuse järel peab asja omandiõigus üle minema hiljemalt 2023. aasta 30. juuniks.</w:t>
      </w:r>
    </w:p>
    <w:p w14:paraId="5F7EF841" w14:textId="77777777" w:rsidR="00C7376C" w:rsidRDefault="00C7376C" w:rsidP="004356F0">
      <w:pPr>
        <w:jc w:val="both"/>
      </w:pPr>
    </w:p>
    <w:p w14:paraId="3CB05583" w14:textId="77777777" w:rsidR="00AC2F10" w:rsidRPr="002A578D" w:rsidRDefault="004F2A5F" w:rsidP="004356F0">
      <w:pPr>
        <w:jc w:val="both"/>
      </w:pPr>
      <w:r w:rsidRPr="002A578D">
        <w:t>Ülejäänud muudatused on oma olemuselt norm</w:t>
      </w:r>
      <w:r w:rsidR="00BF4FAD" w:rsidRPr="002A578D">
        <w:t>i</w:t>
      </w:r>
      <w:r w:rsidRPr="002A578D">
        <w:t>tehnilised ning täpsustavad ja selgitavad</w:t>
      </w:r>
      <w:r w:rsidR="00A5538D" w:rsidRPr="002A578D">
        <w:t>.</w:t>
      </w:r>
    </w:p>
    <w:p w14:paraId="53CD566F" w14:textId="77777777" w:rsidR="004F2A5F" w:rsidRPr="002A578D" w:rsidRDefault="004F2A5F" w:rsidP="004356F0">
      <w:pPr>
        <w:jc w:val="both"/>
      </w:pPr>
    </w:p>
    <w:p w14:paraId="0779C3FC" w14:textId="6940370B" w:rsidR="00CD1DE1" w:rsidRPr="003E4798" w:rsidRDefault="0058025F" w:rsidP="004356F0">
      <w:pPr>
        <w:jc w:val="both"/>
      </w:pPr>
      <w:r w:rsidRPr="002A578D">
        <w:t xml:space="preserve">Määruse </w:t>
      </w:r>
      <w:r w:rsidR="000B5897" w:rsidRPr="002A578D">
        <w:t>eelnõu ja seletuskirja koostas</w:t>
      </w:r>
      <w:r w:rsidRPr="002A578D">
        <w:t xml:space="preserve"> Maaeluministeeriumi </w:t>
      </w:r>
      <w:r w:rsidR="005406A7">
        <w:t xml:space="preserve">põllumajanduspoliitika osakonna põllumajandus- ja toidusektori arengu büroo juhataja </w:t>
      </w:r>
      <w:r w:rsidRPr="002A578D">
        <w:t>Janeli Tikk (625</w:t>
      </w:r>
      <w:r w:rsidR="00C7376C">
        <w:t> </w:t>
      </w:r>
      <w:r w:rsidRPr="002A578D">
        <w:t xml:space="preserve">6299, </w:t>
      </w:r>
      <w:hyperlink r:id="rId7" w:history="1">
        <w:r w:rsidRPr="00750481">
          <w:rPr>
            <w:rStyle w:val="Hyperlink"/>
            <w:color w:val="auto"/>
          </w:rPr>
          <w:t>janeli.tikk@agri.ee</w:t>
        </w:r>
      </w:hyperlink>
      <w:r w:rsidRPr="002A578D">
        <w:t>). Juriidilise ekspertiisi määruse eelnõule tegi Maaeluministeeriumi õi</w:t>
      </w:r>
      <w:r w:rsidR="004F2A5F" w:rsidRPr="003E4798">
        <w:t>gusosakonna nõunik Kadri Jänes</w:t>
      </w:r>
      <w:r w:rsidRPr="002A578D">
        <w:t xml:space="preserve"> (625 6539, </w:t>
      </w:r>
      <w:hyperlink r:id="rId8" w:history="1">
        <w:r w:rsidR="004F2A5F" w:rsidRPr="00750481">
          <w:rPr>
            <w:rStyle w:val="Hyperlink"/>
            <w:color w:val="auto"/>
          </w:rPr>
          <w:t>kadri.janes@agri.ee</w:t>
        </w:r>
      </w:hyperlink>
      <w:r w:rsidRPr="002A578D">
        <w:t>). Keeleliselt toimetas eelnõu Maaeluministeeriumi õigusosakonna peaspetsialist L</w:t>
      </w:r>
      <w:r w:rsidR="001B7069">
        <w:t>aura</w:t>
      </w:r>
      <w:r w:rsidRPr="003E4798">
        <w:t xml:space="preserve"> </w:t>
      </w:r>
      <w:r w:rsidR="001B7069">
        <w:t>Ojava</w:t>
      </w:r>
      <w:r w:rsidRPr="002A578D">
        <w:t xml:space="preserve"> (625 6</w:t>
      </w:r>
      <w:r w:rsidR="001B7069">
        <w:t>523</w:t>
      </w:r>
      <w:r w:rsidRPr="002A578D">
        <w:t xml:space="preserve">, </w:t>
      </w:r>
      <w:hyperlink r:id="rId9" w:history="1">
        <w:r w:rsidR="00015849" w:rsidRPr="0077449F">
          <w:rPr>
            <w:rStyle w:val="Hyperlink"/>
            <w:color w:val="auto"/>
          </w:rPr>
          <w:t>laura.ojava@agri.ee</w:t>
        </w:r>
      </w:hyperlink>
      <w:r w:rsidRPr="0077449F">
        <w:t>).</w:t>
      </w:r>
    </w:p>
    <w:p w14:paraId="65603DFC" w14:textId="77777777" w:rsidR="0058025F" w:rsidRPr="002A578D" w:rsidRDefault="0058025F" w:rsidP="004356F0">
      <w:pPr>
        <w:jc w:val="both"/>
      </w:pPr>
    </w:p>
    <w:p w14:paraId="3836E987" w14:textId="77777777" w:rsidR="0058025F" w:rsidRPr="002A578D" w:rsidRDefault="0058025F" w:rsidP="004356F0">
      <w:pPr>
        <w:jc w:val="both"/>
        <w:rPr>
          <w:b/>
        </w:rPr>
      </w:pPr>
      <w:r w:rsidRPr="002A578D">
        <w:rPr>
          <w:b/>
        </w:rPr>
        <w:t>2. Eelnõu sisu ja võrdlev analüüs</w:t>
      </w:r>
    </w:p>
    <w:p w14:paraId="2DA9B8FC" w14:textId="77777777" w:rsidR="0058025F" w:rsidRPr="002A578D" w:rsidRDefault="0058025F" w:rsidP="004356F0">
      <w:pPr>
        <w:jc w:val="both"/>
        <w:rPr>
          <w:b/>
        </w:rPr>
      </w:pPr>
    </w:p>
    <w:p w14:paraId="632A6653" w14:textId="77777777" w:rsidR="0058025F" w:rsidRPr="002A578D" w:rsidRDefault="0058025F" w:rsidP="004356F0">
      <w:pPr>
        <w:jc w:val="both"/>
      </w:pPr>
      <w:r w:rsidRPr="002A578D">
        <w:t xml:space="preserve">Määrust </w:t>
      </w:r>
      <w:r w:rsidR="00A5526D" w:rsidRPr="002A578D">
        <w:t>muudetakse järgmiselt.</w:t>
      </w:r>
    </w:p>
    <w:p w14:paraId="6CA462A1" w14:textId="77777777" w:rsidR="0058025F" w:rsidRDefault="0058025F" w:rsidP="004356F0">
      <w:pPr>
        <w:jc w:val="both"/>
      </w:pPr>
    </w:p>
    <w:p w14:paraId="0D1E8FD1" w14:textId="00324CC2" w:rsidR="00836A3F" w:rsidRPr="002A578D" w:rsidRDefault="00836A3F" w:rsidP="002B214F">
      <w:pPr>
        <w:jc w:val="both"/>
      </w:pPr>
      <w:r w:rsidRPr="00836A3F">
        <w:rPr>
          <w:b/>
        </w:rPr>
        <w:t>Eelnõu punkt 1</w:t>
      </w:r>
      <w:r>
        <w:t xml:space="preserve"> on seotud toetuse taotleja nõuetekohasuse määramisel kasutatavate majandusaastate täpsustamisega. Väljend „taotluse esitamise aastale vahetult eelnenud majandusaasta“ ei võimalda hinnata taotleja majanduslikku jätkusuutlikkust ja nõuetele vastavust </w:t>
      </w:r>
      <w:r>
        <w:lastRenderedPageBreak/>
        <w:t>kõige uuemate majandusaasta andmete alusel olukorras, kus majandusaasta ei ühti kalendriaastaga (</w:t>
      </w:r>
      <w:r w:rsidR="002772D9">
        <w:t>n</w:t>
      </w:r>
      <w:r w:rsidR="00A53EEF">
        <w:t>äi</w:t>
      </w:r>
      <w:r w:rsidR="002772D9">
        <w:t>t</w:t>
      </w:r>
      <w:r w:rsidR="00A53EEF">
        <w:t>eks</w:t>
      </w:r>
      <w:r w:rsidR="002772D9">
        <w:t xml:space="preserve"> </w:t>
      </w:r>
      <w:r>
        <w:t>majandusaasta lõppeb kalendriaasta keskel). Taotleja tegeliku majandusliku jätkusuutlikkuse ja nõuetele vastavuse hindamisel on aga oluline, et aluseks võetakse võimalikult värsked ja kõige uuemad</w:t>
      </w:r>
      <w:r w:rsidR="00EE6670">
        <w:t xml:space="preserve"> </w:t>
      </w:r>
      <w:r>
        <w:t>majandusaasta andmed, kuna need iseloomustavad taotleja hetkelist majanduslikku olukorda</w:t>
      </w:r>
      <w:r w:rsidR="00EE6670">
        <w:t xml:space="preserve"> </w:t>
      </w:r>
      <w:r>
        <w:t>kõige täpsemini. Tulenevalt eespool kirjeldatu</w:t>
      </w:r>
      <w:r w:rsidR="00015849">
        <w:t>st</w:t>
      </w:r>
      <w:r>
        <w:t xml:space="preserve"> </w:t>
      </w:r>
      <w:r w:rsidR="00015849">
        <w:t xml:space="preserve">kasutatakse edaspidi sõnu </w:t>
      </w:r>
      <w:r w:rsidR="00EE6670">
        <w:t>„taotluse esitamisele</w:t>
      </w:r>
      <w:r w:rsidR="00015849">
        <w:t>“</w:t>
      </w:r>
      <w:r w:rsidR="00EE6670">
        <w:t>.</w:t>
      </w:r>
      <w:r w:rsidR="002B214F">
        <w:t xml:space="preserve"> Muudatus tagab nendele ettevõtjatele, kelle majandusaasta ei ühti kalendriaastaga, paindlikumad </w:t>
      </w:r>
      <w:r w:rsidR="00C7376C">
        <w:t xml:space="preserve">toetuse taotlemise </w:t>
      </w:r>
      <w:r w:rsidR="002B214F">
        <w:t>tingimused.</w:t>
      </w:r>
    </w:p>
    <w:p w14:paraId="3F91F84C" w14:textId="77777777" w:rsidR="00015849" w:rsidRDefault="00015849" w:rsidP="004356F0">
      <w:pPr>
        <w:jc w:val="both"/>
        <w:rPr>
          <w:b/>
        </w:rPr>
      </w:pPr>
    </w:p>
    <w:p w14:paraId="57B60131" w14:textId="20FCE198" w:rsidR="00EE48FB" w:rsidRDefault="00EE48FB" w:rsidP="004356F0">
      <w:pPr>
        <w:jc w:val="both"/>
        <w:rPr>
          <w:b/>
        </w:rPr>
      </w:pPr>
      <w:r>
        <w:rPr>
          <w:b/>
        </w:rPr>
        <w:t xml:space="preserve">Eelnõu punktidega 2 ja 3 </w:t>
      </w:r>
      <w:r>
        <w:t>eelkõige täpsustatakse, keda loetakse taotlejaks.</w:t>
      </w:r>
      <w:r>
        <w:rPr>
          <w:b/>
        </w:rPr>
        <w:t xml:space="preserve"> </w:t>
      </w:r>
    </w:p>
    <w:p w14:paraId="73B7BDEC" w14:textId="77777777" w:rsidR="00EE48FB" w:rsidRDefault="00EE48FB" w:rsidP="004356F0">
      <w:pPr>
        <w:jc w:val="both"/>
        <w:rPr>
          <w:b/>
        </w:rPr>
      </w:pPr>
    </w:p>
    <w:p w14:paraId="7968AA94" w14:textId="42BADA50" w:rsidR="007A44CB" w:rsidRDefault="00AB1EB3" w:rsidP="004356F0">
      <w:pPr>
        <w:jc w:val="both"/>
      </w:pPr>
      <w:r w:rsidRPr="002A578D">
        <w:rPr>
          <w:b/>
        </w:rPr>
        <w:t>Eelnõu punktiga</w:t>
      </w:r>
      <w:r w:rsidR="007A44CB" w:rsidRPr="002A578D">
        <w:rPr>
          <w:b/>
        </w:rPr>
        <w:t xml:space="preserve"> </w:t>
      </w:r>
      <w:r w:rsidR="00EE48FB">
        <w:rPr>
          <w:b/>
        </w:rPr>
        <w:t>4</w:t>
      </w:r>
      <w:r w:rsidR="007A44CB" w:rsidRPr="002A578D">
        <w:t xml:space="preserve"> tä</w:t>
      </w:r>
      <w:r w:rsidR="004C2D7D" w:rsidRPr="002A578D">
        <w:t>ienda</w:t>
      </w:r>
      <w:r w:rsidR="007A44CB" w:rsidRPr="002A578D">
        <w:t>takse sõnastust</w:t>
      </w:r>
      <w:r w:rsidRPr="002A578D">
        <w:t xml:space="preserve">. </w:t>
      </w:r>
      <w:r w:rsidR="004C2D7D" w:rsidRPr="002A578D">
        <w:t>Muuda</w:t>
      </w:r>
      <w:r w:rsidRPr="002A578D">
        <w:t>tus tuleneb</w:t>
      </w:r>
      <w:r w:rsidR="005D7BF1">
        <w:t xml:space="preserve"> Vabariigi Valitsuse 22. detsembri 2011. a määruse nr 180 „H</w:t>
      </w:r>
      <w:r w:rsidRPr="002A578D">
        <w:t>ea õigusloome ja normitehnika eeskir</w:t>
      </w:r>
      <w:r w:rsidR="005D7BF1">
        <w:t>i“</w:t>
      </w:r>
      <w:r w:rsidRPr="002A578D">
        <w:t xml:space="preserve"> § 29 lõike</w:t>
      </w:r>
      <w:r w:rsidR="004C2D7D" w:rsidRPr="002A578D">
        <w:t>st</w:t>
      </w:r>
      <w:r w:rsidRPr="002A578D">
        <w:t xml:space="preserve"> 3</w:t>
      </w:r>
      <w:r w:rsidR="004C2D7D" w:rsidRPr="002A578D">
        <w:t>.</w:t>
      </w:r>
    </w:p>
    <w:p w14:paraId="6C138A7D" w14:textId="77777777" w:rsidR="002362CA" w:rsidRDefault="002362CA" w:rsidP="004356F0">
      <w:pPr>
        <w:jc w:val="both"/>
      </w:pPr>
    </w:p>
    <w:p w14:paraId="44B4C5C9" w14:textId="4416C85A" w:rsidR="002362CA" w:rsidRDefault="002362CA" w:rsidP="002362CA">
      <w:pPr>
        <w:jc w:val="both"/>
      </w:pPr>
      <w:r w:rsidRPr="002362CA">
        <w:rPr>
          <w:b/>
        </w:rPr>
        <w:t>Eelnõu punkti</w:t>
      </w:r>
      <w:r w:rsidR="00EE48FB">
        <w:rPr>
          <w:b/>
        </w:rPr>
        <w:t>de</w:t>
      </w:r>
      <w:r w:rsidRPr="002362CA">
        <w:rPr>
          <w:b/>
        </w:rPr>
        <w:t xml:space="preserve">s </w:t>
      </w:r>
      <w:r w:rsidR="00EE48FB">
        <w:rPr>
          <w:b/>
        </w:rPr>
        <w:t xml:space="preserve">5 ja </w:t>
      </w:r>
      <w:r w:rsidR="00941A9A">
        <w:rPr>
          <w:b/>
        </w:rPr>
        <w:t>2</w:t>
      </w:r>
      <w:r w:rsidR="00077067">
        <w:rPr>
          <w:b/>
        </w:rPr>
        <w:t>1</w:t>
      </w:r>
      <w:r>
        <w:t xml:space="preserve"> tunnistatakse kehtetuks määruse § 3</w:t>
      </w:r>
      <w:r w:rsidRPr="002362CA">
        <w:rPr>
          <w:vertAlign w:val="superscript"/>
        </w:rPr>
        <w:t>1</w:t>
      </w:r>
      <w:r>
        <w:t xml:space="preserve"> lõike 2 punkt 3</w:t>
      </w:r>
      <w:r w:rsidR="00C7376C" w:rsidRPr="00C7376C">
        <w:t xml:space="preserve"> ja § 10 lõige 4</w:t>
      </w:r>
      <w:r w:rsidRPr="00C7376C">
        <w:t>.</w:t>
      </w:r>
      <w:r>
        <w:t xml:space="preserve"> Kui </w:t>
      </w:r>
      <w:r w:rsidR="00C7376C">
        <w:t xml:space="preserve">varem </w:t>
      </w:r>
      <w:r>
        <w:t xml:space="preserve">sätestati </w:t>
      </w:r>
      <w:r w:rsidR="00A753E7">
        <w:t xml:space="preserve">määruses nõue, mille </w:t>
      </w:r>
      <w:r w:rsidR="00D770D7">
        <w:t>kohaselt</w:t>
      </w:r>
      <w:r w:rsidR="00C7376C">
        <w:t xml:space="preserve"> </w:t>
      </w:r>
      <w:r w:rsidR="00D770D7">
        <w:t xml:space="preserve">pidi </w:t>
      </w:r>
      <w:r>
        <w:t xml:space="preserve">taotleja </w:t>
      </w:r>
      <w:r w:rsidR="00D770D7">
        <w:t xml:space="preserve">esitama Veterinaar- ja Toiduameti </w:t>
      </w:r>
      <w:r>
        <w:t>õiend</w:t>
      </w:r>
      <w:r w:rsidR="00D770D7">
        <w:t>i kavandatava</w:t>
      </w:r>
      <w:r>
        <w:t xml:space="preserve"> investeeringuobjekti investeeringujärgse nõuetekohasuse kohta, siis edaspidi vastavat õiendit ei nõuta. </w:t>
      </w:r>
      <w:r w:rsidRPr="0098502A">
        <w:t xml:space="preserve">Investeeringu tegemise </w:t>
      </w:r>
      <w:r w:rsidR="00C7376C" w:rsidRPr="00B80F00">
        <w:t xml:space="preserve">järel </w:t>
      </w:r>
      <w:r w:rsidRPr="0098502A">
        <w:t xml:space="preserve">toiduainete töötlemiseks vajalike nõuete täitmise tagab </w:t>
      </w:r>
      <w:r w:rsidR="00D770D7" w:rsidRPr="0098502A">
        <w:t>Veterinaar- ja Toiduameti</w:t>
      </w:r>
      <w:r w:rsidRPr="0098502A">
        <w:t xml:space="preserve"> kontroll, mille </w:t>
      </w:r>
      <w:r w:rsidR="002F5C15" w:rsidRPr="0098502A">
        <w:t>tulemusel</w:t>
      </w:r>
      <w:r w:rsidRPr="0098502A">
        <w:t xml:space="preserve"> väljastatakse taotlejale toiduseaduse või söödaseaduse alusel kehtestatud tegevusluba.</w:t>
      </w:r>
    </w:p>
    <w:p w14:paraId="79A04DCD" w14:textId="042B892B" w:rsidR="00F01526" w:rsidRDefault="00F01526" w:rsidP="002362CA">
      <w:pPr>
        <w:jc w:val="both"/>
      </w:pPr>
    </w:p>
    <w:p w14:paraId="50F32C71" w14:textId="3F4AF1DF" w:rsidR="007445B8" w:rsidRDefault="00F01526" w:rsidP="002362CA">
      <w:pPr>
        <w:jc w:val="both"/>
      </w:pPr>
      <w:r w:rsidRPr="00776E8E">
        <w:rPr>
          <w:b/>
        </w:rPr>
        <w:t>Eelnõu punkti</w:t>
      </w:r>
      <w:r w:rsidR="00EE48FB">
        <w:rPr>
          <w:b/>
        </w:rPr>
        <w:t>de</w:t>
      </w:r>
      <w:r w:rsidRPr="00776E8E">
        <w:rPr>
          <w:b/>
        </w:rPr>
        <w:t xml:space="preserve">s </w:t>
      </w:r>
      <w:r w:rsidR="00EE48FB">
        <w:rPr>
          <w:b/>
        </w:rPr>
        <w:t xml:space="preserve">6, 8, 9 ja </w:t>
      </w:r>
      <w:r w:rsidR="00077067">
        <w:rPr>
          <w:b/>
        </w:rPr>
        <w:t>30</w:t>
      </w:r>
      <w:r w:rsidRPr="00776E8E">
        <w:rPr>
          <w:b/>
        </w:rPr>
        <w:t xml:space="preserve"> </w:t>
      </w:r>
      <w:r w:rsidR="00776E8E" w:rsidRPr="00776E8E">
        <w:t>täpsustatakse sõnastust</w:t>
      </w:r>
      <w:r w:rsidR="00EE48FB">
        <w:t>,</w:t>
      </w:r>
      <w:r w:rsidR="00776E8E" w:rsidRPr="00776E8E">
        <w:t xml:space="preserve"> </w:t>
      </w:r>
      <w:r w:rsidR="00EE48FB">
        <w:t xml:space="preserve">ühtlustades nendes sätetes toodu omavahel. </w:t>
      </w:r>
      <w:r w:rsidR="00413758">
        <w:t xml:space="preserve">Sama sõnastuse kasutamise </w:t>
      </w:r>
      <w:r w:rsidR="00276B73">
        <w:t xml:space="preserve">eesmärk </w:t>
      </w:r>
      <w:r w:rsidR="00413758">
        <w:t>on</w:t>
      </w:r>
      <w:r w:rsidR="00776E8E" w:rsidRPr="00776E8E">
        <w:t xml:space="preserve"> vältida valesti tõlgendamist. </w:t>
      </w:r>
    </w:p>
    <w:p w14:paraId="31540A15" w14:textId="596259E1" w:rsidR="00F01526" w:rsidRPr="007445B8" w:rsidRDefault="00F01526" w:rsidP="002362CA">
      <w:pPr>
        <w:jc w:val="both"/>
      </w:pPr>
    </w:p>
    <w:p w14:paraId="2D151D13" w14:textId="11074257" w:rsidR="007445B8" w:rsidRPr="00282FB0" w:rsidRDefault="007445B8" w:rsidP="007445B8">
      <w:pPr>
        <w:jc w:val="both"/>
      </w:pPr>
      <w:r w:rsidRPr="00282FB0">
        <w:rPr>
          <w:b/>
        </w:rPr>
        <w:t>Eelnõu punktis</w:t>
      </w:r>
      <w:r w:rsidR="00F01526" w:rsidRPr="00282FB0">
        <w:rPr>
          <w:b/>
        </w:rPr>
        <w:t xml:space="preserve"> </w:t>
      </w:r>
      <w:r w:rsidR="00C7149C" w:rsidRPr="00282FB0">
        <w:rPr>
          <w:b/>
        </w:rPr>
        <w:t>7</w:t>
      </w:r>
      <w:r w:rsidR="00F01526" w:rsidRPr="00282FB0">
        <w:t xml:space="preserve"> </w:t>
      </w:r>
      <w:r w:rsidRPr="00282FB0">
        <w:t xml:space="preserve">täpsustatakse, et </w:t>
      </w:r>
      <w:r w:rsidR="00D81274">
        <w:t>määruse § 3</w:t>
      </w:r>
      <w:r w:rsidR="00D81274" w:rsidRPr="00D636BA">
        <w:rPr>
          <w:vertAlign w:val="superscript"/>
        </w:rPr>
        <w:t>1</w:t>
      </w:r>
      <w:r w:rsidR="00D81274">
        <w:t xml:space="preserve"> lõike 2 punktis 1 sätestatud nõudele</w:t>
      </w:r>
      <w:r w:rsidR="00D81274" w:rsidRPr="00282FB0">
        <w:t xml:space="preserve"> </w:t>
      </w:r>
      <w:r w:rsidR="00D81274">
        <w:t xml:space="preserve">ei pea vastama </w:t>
      </w:r>
      <w:r w:rsidRPr="00282FB0">
        <w:t xml:space="preserve">taotleja, kes </w:t>
      </w:r>
      <w:r w:rsidR="00D81274">
        <w:t xml:space="preserve">on tegutsenud </w:t>
      </w:r>
      <w:r w:rsidR="00D81274" w:rsidRPr="00D02C3E">
        <w:t>taotluse esitamise hetkeks</w:t>
      </w:r>
      <w:r w:rsidR="00D81274">
        <w:t xml:space="preserve"> alla aasta, või kes on tegutsenud </w:t>
      </w:r>
      <w:r w:rsidR="00D81274" w:rsidRPr="00255902">
        <w:t>taotluse esitamise hetkeks üle</w:t>
      </w:r>
      <w:r w:rsidR="00D81274">
        <w:t xml:space="preserve"> aasta ja kellel puuduvad esimese majandusaasta kohta taotlu</w:t>
      </w:r>
      <w:r w:rsidR="00AB48D3">
        <w:t xml:space="preserve">se esitamisele vahetult eelnenud 12 kuu finantsnäitajad. </w:t>
      </w:r>
      <w:r w:rsidR="003F4818">
        <w:t>Kuna majandus</w:t>
      </w:r>
      <w:r w:rsidR="00726BD0" w:rsidRPr="00726BD0">
        <w:t xml:space="preserve">aasta pikkus on tavaliselt 12 kuud, aga </w:t>
      </w:r>
      <w:r w:rsidR="00726BD0" w:rsidRPr="007F6F55">
        <w:t xml:space="preserve">alustamisel </w:t>
      </w:r>
      <w:r w:rsidR="00726BD0" w:rsidRPr="00726BD0">
        <w:t>võib see olla lühem v</w:t>
      </w:r>
      <w:r w:rsidR="003F4818">
        <w:t>õi pikem, kuid mitt</w:t>
      </w:r>
      <w:r w:rsidR="001B7FE4">
        <w:t xml:space="preserve">e üle 18 kuu, siis taotleja, </w:t>
      </w:r>
      <w:r w:rsidR="00726BD0" w:rsidRPr="00726BD0">
        <w:t>kes on tegutsenu</w:t>
      </w:r>
      <w:r w:rsidR="001B7FE4">
        <w:t xml:space="preserve">d taotluse esitamise hetkeks alla ühe aasta, ei pea nimetatud </w:t>
      </w:r>
      <w:r w:rsidR="00FB57DA">
        <w:t xml:space="preserve">nõudele </w:t>
      </w:r>
      <w:r w:rsidR="001B7FE4">
        <w:t xml:space="preserve">vastama. </w:t>
      </w:r>
      <w:r w:rsidRPr="00282FB0">
        <w:t xml:space="preserve">Samuti ei pea nimetatud </w:t>
      </w:r>
      <w:r w:rsidR="000816A4">
        <w:t>nõude</w:t>
      </w:r>
      <w:r w:rsidRPr="00282FB0">
        <w:t xml:space="preserve">le </w:t>
      </w:r>
      <w:r w:rsidR="001106C0" w:rsidRPr="00282FB0">
        <w:t xml:space="preserve">vastama </w:t>
      </w:r>
      <w:r w:rsidRPr="00282FB0">
        <w:t xml:space="preserve">taotleja, kes on tegutsenud taotluse esitamise </w:t>
      </w:r>
      <w:r w:rsidR="00C43A64" w:rsidRPr="00282FB0">
        <w:t>hetkeks</w:t>
      </w:r>
      <w:r w:rsidRPr="00282FB0">
        <w:t xml:space="preserve"> </w:t>
      </w:r>
      <w:r w:rsidR="001B7FE4">
        <w:t xml:space="preserve">üle ühe aasta, </w:t>
      </w:r>
      <w:r w:rsidRPr="00282FB0">
        <w:t xml:space="preserve">kuid </w:t>
      </w:r>
      <w:r w:rsidR="001B7FE4">
        <w:t xml:space="preserve">tal </w:t>
      </w:r>
      <w:r w:rsidR="007A319E" w:rsidRPr="00282FB0">
        <w:t xml:space="preserve">puuduvad </w:t>
      </w:r>
      <w:r w:rsidR="001B7FE4">
        <w:t xml:space="preserve">esimese majandusaasta kohta </w:t>
      </w:r>
      <w:r w:rsidR="007A319E" w:rsidRPr="00282FB0">
        <w:t xml:space="preserve">taotluse esitamisele </w:t>
      </w:r>
      <w:r w:rsidR="00C43A64" w:rsidRPr="00282FB0">
        <w:t xml:space="preserve">vahetult </w:t>
      </w:r>
      <w:r w:rsidR="00AB24CF">
        <w:t>eelnenud</w:t>
      </w:r>
      <w:r w:rsidR="001B7FE4">
        <w:t xml:space="preserve"> </w:t>
      </w:r>
      <w:r w:rsidR="007A319E" w:rsidRPr="00282FB0">
        <w:t>12 järjestiku</w:t>
      </w:r>
      <w:r w:rsidR="002E1779" w:rsidRPr="00282FB0">
        <w:t>se</w:t>
      </w:r>
      <w:r w:rsidR="007A319E" w:rsidRPr="00282FB0">
        <w:t xml:space="preserve"> kuu finantsnäitajad. </w:t>
      </w:r>
    </w:p>
    <w:p w14:paraId="43A32396" w14:textId="77777777" w:rsidR="002E1779" w:rsidRPr="00282FB0" w:rsidRDefault="002E1779" w:rsidP="007445B8">
      <w:pPr>
        <w:jc w:val="both"/>
      </w:pPr>
    </w:p>
    <w:p w14:paraId="1E093E4B" w14:textId="417D25A4" w:rsidR="007445B8" w:rsidRPr="00282FB0" w:rsidRDefault="007445B8" w:rsidP="007445B8">
      <w:pPr>
        <w:jc w:val="both"/>
      </w:pPr>
      <w:r w:rsidRPr="00282FB0">
        <w:t>Nimetatud n</w:t>
      </w:r>
      <w:r w:rsidR="007A319E" w:rsidRPr="00282FB0">
        <w:t>õuet täpsustatakse, sest</w:t>
      </w:r>
      <w:r w:rsidRPr="00282FB0">
        <w:t xml:space="preserve"> majandusliku jätkusuutlikkuse hindamise mudel võib anda ebatäpse tulemuse, kui </w:t>
      </w:r>
      <w:r w:rsidR="007B2179">
        <w:t xml:space="preserve">sinna mudelisse </w:t>
      </w:r>
      <w:r w:rsidRPr="00282FB0">
        <w:t xml:space="preserve">sisestada </w:t>
      </w:r>
      <w:r w:rsidRPr="0074074A">
        <w:t xml:space="preserve">üksnes </w:t>
      </w:r>
      <w:r w:rsidR="007B2179" w:rsidRPr="0074074A">
        <w:t>alla 12 kuu</w:t>
      </w:r>
      <w:r w:rsidR="007B2179">
        <w:t xml:space="preserve"> </w:t>
      </w:r>
      <w:r w:rsidRPr="00282FB0">
        <w:t xml:space="preserve">andmed. Seega, et tagada taotlejate võrdne kohtlemine, on loobutud majandusliku jätkusuutlikkuse hindamise mudeli rakendamisest taotlejate puhul, </w:t>
      </w:r>
      <w:r w:rsidR="001106C0" w:rsidRPr="00282FB0">
        <w:t xml:space="preserve">kellel </w:t>
      </w:r>
      <w:r w:rsidR="007A319E" w:rsidRPr="00282FB0">
        <w:t xml:space="preserve">puuduvad </w:t>
      </w:r>
      <w:r w:rsidR="008D0A3E">
        <w:t>esimese majandusaasta kohta</w:t>
      </w:r>
      <w:r w:rsidR="007A319E" w:rsidRPr="00282FB0">
        <w:t xml:space="preserve"> 12</w:t>
      </w:r>
      <w:r w:rsidR="002E1779" w:rsidRPr="00282FB0">
        <w:t> </w:t>
      </w:r>
      <w:r w:rsidR="007A319E" w:rsidRPr="00282FB0">
        <w:t>järjestiku</w:t>
      </w:r>
      <w:r w:rsidR="002E1779" w:rsidRPr="00282FB0">
        <w:t>se</w:t>
      </w:r>
      <w:r w:rsidR="007A319E" w:rsidRPr="00282FB0">
        <w:t xml:space="preserve"> kuu finantsnäitajad</w:t>
      </w:r>
      <w:r w:rsidR="00A14C26">
        <w:t>, sest nad alustavad alles oma tegevusega</w:t>
      </w:r>
      <w:r w:rsidR="007A319E" w:rsidRPr="00282FB0">
        <w:t>.</w:t>
      </w:r>
    </w:p>
    <w:p w14:paraId="490E7FB2" w14:textId="77777777" w:rsidR="002E1779" w:rsidRPr="00282FB0" w:rsidRDefault="002E1779" w:rsidP="007445B8">
      <w:pPr>
        <w:jc w:val="both"/>
      </w:pPr>
    </w:p>
    <w:p w14:paraId="2D1EFA23" w14:textId="0C574DCA" w:rsidR="00F01526" w:rsidRPr="007445B8" w:rsidRDefault="007445B8" w:rsidP="007445B8">
      <w:pPr>
        <w:jc w:val="both"/>
      </w:pPr>
      <w:r w:rsidRPr="00282FB0">
        <w:t xml:space="preserve">Nimetatud muudatusega ei looda alles alustavatele tunnustatud tootjarühmadele </w:t>
      </w:r>
      <w:r w:rsidR="00A14C26">
        <w:t xml:space="preserve">ja ettevõtjatele </w:t>
      </w:r>
      <w:r w:rsidRPr="00282FB0">
        <w:t>olulist eelist</w:t>
      </w:r>
      <w:r w:rsidR="001106C0" w:rsidRPr="00282FB0">
        <w:t>,</w:t>
      </w:r>
      <w:r w:rsidRPr="00282FB0">
        <w:t xml:space="preserve"> vaid võimaldatakse neil toetust taotle</w:t>
      </w:r>
      <w:r w:rsidR="001106C0" w:rsidRPr="00282FB0">
        <w:t>d</w:t>
      </w:r>
      <w:r w:rsidRPr="00282FB0">
        <w:t xml:space="preserve">a juba tegutsevate tootjarühmadega võrdsetel alustel. Kuna toetuse </w:t>
      </w:r>
      <w:r w:rsidR="00A14C26">
        <w:t xml:space="preserve">saajate </w:t>
      </w:r>
      <w:r w:rsidRPr="00282FB0">
        <w:t>siht</w:t>
      </w:r>
      <w:r w:rsidR="008759A9">
        <w:t>grupi</w:t>
      </w:r>
      <w:r w:rsidRPr="00282FB0">
        <w:t xml:space="preserve">s on erinevas arenguetapis olevad </w:t>
      </w:r>
      <w:r w:rsidR="00A14C26">
        <w:t xml:space="preserve">tootjarühmad ja </w:t>
      </w:r>
      <w:r w:rsidRPr="00282FB0">
        <w:t xml:space="preserve">ettevõtjad, ei ole nende hindamine ühesuguse metoodikaga asjakohane. Muudatusega tagatakse, et erinevat metoodikat kasutades tagatakse nii alustavate kui </w:t>
      </w:r>
      <w:r w:rsidR="001106C0" w:rsidRPr="00282FB0">
        <w:t xml:space="preserve">ka </w:t>
      </w:r>
      <w:r w:rsidRPr="00282FB0">
        <w:t xml:space="preserve">juba tegutsevate tootjarühmade </w:t>
      </w:r>
      <w:r w:rsidR="00A14C26">
        <w:t xml:space="preserve">ja ettevõtjate </w:t>
      </w:r>
      <w:r w:rsidRPr="00282FB0">
        <w:t xml:space="preserve">hindamisel võrreldavad tulemused. Lisaks toetab see muudatus meetme üldist eesmärki, milleks </w:t>
      </w:r>
      <w:r w:rsidR="001106C0" w:rsidRPr="00282FB0">
        <w:t xml:space="preserve">on </w:t>
      </w:r>
      <w:r w:rsidRPr="00282FB0">
        <w:t xml:space="preserve">toetada jätkusuutlikke ja potentsiaalseid tunnustatud tootjarühmi </w:t>
      </w:r>
      <w:r w:rsidR="00A14C26">
        <w:t xml:space="preserve">ja ettevõtjaid </w:t>
      </w:r>
      <w:r w:rsidR="001106C0" w:rsidRPr="00282FB0">
        <w:t xml:space="preserve">ning </w:t>
      </w:r>
      <w:r w:rsidRPr="00282FB0">
        <w:t>aidata kaasa töötlemisega alustamisele.</w:t>
      </w:r>
    </w:p>
    <w:p w14:paraId="3F64E5C7" w14:textId="5C4A8B4D" w:rsidR="003D3B15" w:rsidRDefault="003D3B15" w:rsidP="004356F0">
      <w:pPr>
        <w:jc w:val="both"/>
      </w:pPr>
    </w:p>
    <w:p w14:paraId="4C504BAB" w14:textId="7ABC6A1B" w:rsidR="00B33B8D" w:rsidRDefault="00F264AC" w:rsidP="00B33B8D">
      <w:pPr>
        <w:jc w:val="both"/>
      </w:pPr>
      <w:r>
        <w:rPr>
          <w:b/>
        </w:rPr>
        <w:t>Eelnõu punktiga</w:t>
      </w:r>
      <w:r w:rsidR="004A17AC" w:rsidRPr="00394D40">
        <w:rPr>
          <w:b/>
        </w:rPr>
        <w:t xml:space="preserve"> 10</w:t>
      </w:r>
      <w:r w:rsidR="00C47E37" w:rsidRPr="00394D40">
        <w:rPr>
          <w:b/>
        </w:rPr>
        <w:t xml:space="preserve"> </w:t>
      </w:r>
      <w:r w:rsidR="00394D40" w:rsidRPr="00394D40">
        <w:t>muudetakse liisingumaksete abikõlblikkuse maksimaalset tähtaega.</w:t>
      </w:r>
      <w:r w:rsidR="00B33B8D">
        <w:t xml:space="preserve"> </w:t>
      </w:r>
      <w:r w:rsidR="00DB3FF7">
        <w:t>Määruse § 6 punkti 6 kohaselt on l</w:t>
      </w:r>
      <w:r w:rsidR="00B33B8D">
        <w:t xml:space="preserve">iisingumaksed abikõlblikud, kui asja omandiõigus läheb üle viie aasta möödudes arvates PRIA poolt taotluse rahuldamise otsuse tegemisest, kuid hiljemalt 2023. aasta 31. detsembril. Pärast muudatust on liisingumaksed endiselt abikõlblikud, kui asja omandiõigus läheb üle viie aasta möödudes arvates PRIA poolt taotluse rahuldamise otsuse </w:t>
      </w:r>
      <w:r w:rsidR="00B33B8D">
        <w:lastRenderedPageBreak/>
        <w:t xml:space="preserve">tegemisest, kuid muutub kuupäev, mis ajaks peab omandiõigus olenemata viie aasta täitumisest üle minema – selleks kuupäevaks on 2023. aasta 30. juuni. </w:t>
      </w:r>
    </w:p>
    <w:p w14:paraId="3F73B31E" w14:textId="77777777" w:rsidR="00B33B8D" w:rsidRDefault="00B33B8D" w:rsidP="00B33B8D">
      <w:pPr>
        <w:jc w:val="both"/>
      </w:pPr>
    </w:p>
    <w:p w14:paraId="32CEE73C" w14:textId="2AFDCC9F" w:rsidR="00C47E37" w:rsidRPr="00DB3FF7" w:rsidRDefault="00B33B8D" w:rsidP="00B33B8D">
      <w:pPr>
        <w:jc w:val="both"/>
      </w:pPr>
      <w:r>
        <w:t>Euroopa Parlamendi ja nõukogu määruse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 artikli 65 lõike 2 kohaselt on kulud Euroopa struktuuri- ja investeerimisfondidest toetuse saamiseks kõlblikud juhul, kui need on tekkinud toetusesaajal ja need on tasutud hiljemalt 31. detsembril 2023. Nimetatud lõike teine lause täpsustab, et lisaks on kulud toetuse saamiseks kõlblikud ainult juhul, kui makseasutus (s.o PRIA) maksab asjaomase abi tegelikult välja enne 31. detsembrit 2023. Tagamaks, et PRIA jõuaks programmiperioodi lõppu jäävaid väljamakseid teha enne 2023. aasta 31. detsembrit, ja võimaldamaks PRIA</w:t>
      </w:r>
      <w:r w:rsidR="00DE1375">
        <w:t>-</w:t>
      </w:r>
      <w:r>
        <w:t>le ka kuludokumentide menetlemiseks mõistlik aeg, siis tuuakse nii abikõlblikkust tõendavate kuludokumentide esitamise kui ka omandiõiguse ülemine</w:t>
      </w:r>
      <w:r w:rsidR="00DE1375">
        <w:t>ku tähtaeg varasemaks. Kehtiva määrus</w:t>
      </w:r>
      <w:r>
        <w:t>e alusel teeb PRIA toetuse maksmise otsuse sellise aja jooksul, et toetusraha oleks võimalik kanda toetuse saaja arvelduskontole kolme kuu jooksul arvates nõu</w:t>
      </w:r>
      <w:r w:rsidR="00DE1375">
        <w:t>etekohaste kuludokumentide saa</w:t>
      </w:r>
      <w:r>
        <w:t>misest. Arvestades nimetatud aega ja võimalikku aega vaidemenetlusteks on vajalik, et asja omandiõigus peab olema üle läinud hiljemalt 30. juunil 2023.</w:t>
      </w:r>
    </w:p>
    <w:p w14:paraId="20AE3AD3" w14:textId="47373B91" w:rsidR="00DB3FF7" w:rsidRPr="00DB3FF7" w:rsidRDefault="00DB3FF7" w:rsidP="00B33B8D">
      <w:pPr>
        <w:jc w:val="both"/>
      </w:pPr>
    </w:p>
    <w:p w14:paraId="5EAB910C" w14:textId="77777777" w:rsidR="00DB3FF7" w:rsidRPr="00DB3FF7" w:rsidRDefault="00DB3FF7" w:rsidP="00C705DD">
      <w:pPr>
        <w:jc w:val="both"/>
      </w:pPr>
      <w:r w:rsidRPr="00DB3FF7">
        <w:t>Muudatus ei puuduta neid, kes on saanud toetust juba toimunud taotlusvoorudes, kuna nende taotlusvoorude puhul on tegevuste elluviimise tähtaeg enne 31. detsembrit 2023.</w:t>
      </w:r>
    </w:p>
    <w:p w14:paraId="669189E5" w14:textId="595325D0" w:rsidR="00C47E37" w:rsidRPr="00DB3FF7" w:rsidRDefault="00C47E37" w:rsidP="00C705DD">
      <w:pPr>
        <w:jc w:val="both"/>
      </w:pPr>
    </w:p>
    <w:p w14:paraId="05C379C3" w14:textId="64A55E3D" w:rsidR="003D3B15" w:rsidRDefault="003D3B15" w:rsidP="004356F0">
      <w:pPr>
        <w:jc w:val="both"/>
      </w:pPr>
      <w:r w:rsidRPr="002A578D">
        <w:rPr>
          <w:b/>
        </w:rPr>
        <w:t xml:space="preserve">Eelnõu </w:t>
      </w:r>
      <w:r w:rsidR="004C35FA" w:rsidRPr="002A578D">
        <w:rPr>
          <w:b/>
        </w:rPr>
        <w:t xml:space="preserve">punktis </w:t>
      </w:r>
      <w:r w:rsidR="00C7149C">
        <w:rPr>
          <w:b/>
        </w:rPr>
        <w:t>1</w:t>
      </w:r>
      <w:r w:rsidR="00C47E37">
        <w:rPr>
          <w:b/>
        </w:rPr>
        <w:t>1</w:t>
      </w:r>
      <w:r w:rsidR="004C35FA" w:rsidRPr="002A578D">
        <w:t xml:space="preserve"> täpsustatakse neid kulusid, mida ei loeta abikõlblike kulude hulka. Lisaks rendi-, kütuse-, koolitus- </w:t>
      </w:r>
      <w:r w:rsidR="00654744">
        <w:t>ja</w:t>
      </w:r>
      <w:r w:rsidR="00654744" w:rsidRPr="002A578D">
        <w:t xml:space="preserve"> </w:t>
      </w:r>
      <w:r w:rsidR="004C35FA" w:rsidRPr="002A578D">
        <w:t>sidekulu</w:t>
      </w:r>
      <w:r w:rsidR="004D0BF8" w:rsidRPr="002A578D">
        <w:t>de</w:t>
      </w:r>
      <w:r w:rsidR="004C35FA" w:rsidRPr="002A578D">
        <w:t>le on mitteabikõlblik kulu ka üürikulu.</w:t>
      </w:r>
    </w:p>
    <w:p w14:paraId="1A290322" w14:textId="0C498F7F" w:rsidR="006B644F" w:rsidRPr="00BD47C8" w:rsidRDefault="006B644F" w:rsidP="004356F0">
      <w:pPr>
        <w:jc w:val="both"/>
      </w:pPr>
    </w:p>
    <w:p w14:paraId="7D12A3D2" w14:textId="35F8E66B" w:rsidR="006B644F" w:rsidRPr="00BD47C8" w:rsidRDefault="006B644F" w:rsidP="004356F0">
      <w:pPr>
        <w:jc w:val="both"/>
        <w:rPr>
          <w:b/>
        </w:rPr>
      </w:pPr>
      <w:r w:rsidRPr="00BD47C8">
        <w:rPr>
          <w:b/>
        </w:rPr>
        <w:t>Eelnõu punkti</w:t>
      </w:r>
      <w:r w:rsidR="0077449F">
        <w:rPr>
          <w:b/>
        </w:rPr>
        <w:t>de</w:t>
      </w:r>
      <w:r w:rsidRPr="00BD47C8">
        <w:rPr>
          <w:b/>
        </w:rPr>
        <w:t xml:space="preserve">s </w:t>
      </w:r>
      <w:r w:rsidR="004A17AC">
        <w:rPr>
          <w:b/>
        </w:rPr>
        <w:t>12</w:t>
      </w:r>
      <w:r w:rsidRPr="00BD47C8">
        <w:rPr>
          <w:b/>
        </w:rPr>
        <w:t xml:space="preserve"> </w:t>
      </w:r>
      <w:r w:rsidR="004A17AC">
        <w:rPr>
          <w:b/>
        </w:rPr>
        <w:t>ja 13</w:t>
      </w:r>
      <w:r w:rsidR="0077449F">
        <w:rPr>
          <w:b/>
        </w:rPr>
        <w:t xml:space="preserve"> </w:t>
      </w:r>
      <w:r w:rsidR="0077449F" w:rsidRPr="0077449F">
        <w:t xml:space="preserve">eelkõige </w:t>
      </w:r>
      <w:r w:rsidR="00BD47C8" w:rsidRPr="0077449F">
        <w:t>t</w:t>
      </w:r>
      <w:r w:rsidR="00BD47C8" w:rsidRPr="00BD47C8">
        <w:t>äpsustatakse</w:t>
      </w:r>
      <w:r w:rsidR="00BD47C8">
        <w:t>, mida loetakse hinnapakkumuseks.</w:t>
      </w:r>
    </w:p>
    <w:p w14:paraId="2A0941DB" w14:textId="5D0DF713" w:rsidR="006B644F" w:rsidRPr="00BD47C8" w:rsidRDefault="006B644F" w:rsidP="004356F0">
      <w:pPr>
        <w:jc w:val="both"/>
        <w:rPr>
          <w:b/>
        </w:rPr>
      </w:pPr>
    </w:p>
    <w:p w14:paraId="7BCC89D6" w14:textId="33925872" w:rsidR="006B644F" w:rsidRDefault="006B644F" w:rsidP="00F3403C">
      <w:pPr>
        <w:jc w:val="both"/>
      </w:pPr>
      <w:r w:rsidRPr="002B50FB">
        <w:rPr>
          <w:b/>
        </w:rPr>
        <w:t xml:space="preserve">Eelnõu punktis </w:t>
      </w:r>
      <w:r w:rsidR="00941A9A" w:rsidRPr="002B50FB">
        <w:rPr>
          <w:b/>
        </w:rPr>
        <w:t>1</w:t>
      </w:r>
      <w:r w:rsidR="004A17AC" w:rsidRPr="002B50FB">
        <w:rPr>
          <w:b/>
        </w:rPr>
        <w:t>4</w:t>
      </w:r>
      <w:r w:rsidRPr="002B50FB">
        <w:rPr>
          <w:b/>
        </w:rPr>
        <w:t xml:space="preserve"> </w:t>
      </w:r>
      <w:r w:rsidR="00F3403C" w:rsidRPr="00F3403C">
        <w:t xml:space="preserve">muudetakse </w:t>
      </w:r>
      <w:r w:rsidR="00F3403C">
        <w:t>määruse § 7 lõike 4</w:t>
      </w:r>
      <w:r w:rsidR="00F3403C" w:rsidRPr="00F3403C">
        <w:t xml:space="preserve"> sõnastust. Muudatuse tulemuse</w:t>
      </w:r>
      <w:r w:rsidR="00751BFB">
        <w:t>na</w:t>
      </w:r>
      <w:r w:rsidR="00F3403C" w:rsidRPr="00F3403C">
        <w:t xml:space="preserve"> </w:t>
      </w:r>
      <w:r w:rsidR="002B50FB">
        <w:t xml:space="preserve">sätestatakse määruses, milliseid andmeid peab sisaldama investeeringuobjekti hinnapakkumus, kui taotleja taotleb toetust ehitise ehitamiseks. </w:t>
      </w:r>
    </w:p>
    <w:p w14:paraId="24EFD87F" w14:textId="00AB8B1B" w:rsidR="00791F9A" w:rsidRDefault="00791F9A" w:rsidP="00F3403C">
      <w:pPr>
        <w:jc w:val="both"/>
      </w:pPr>
    </w:p>
    <w:p w14:paraId="50044A0C" w14:textId="28317431" w:rsidR="00791F9A" w:rsidRPr="00F3403C" w:rsidRDefault="00791F9A" w:rsidP="00791F9A">
      <w:pPr>
        <w:jc w:val="both"/>
      </w:pPr>
      <w:r w:rsidRPr="00791F9A">
        <w:rPr>
          <w:b/>
        </w:rPr>
        <w:t>Eelnõu punkti</w:t>
      </w:r>
      <w:r w:rsidR="00C7149C">
        <w:rPr>
          <w:b/>
        </w:rPr>
        <w:t>ga</w:t>
      </w:r>
      <w:r w:rsidRPr="00791F9A">
        <w:rPr>
          <w:b/>
        </w:rPr>
        <w:t xml:space="preserve"> </w:t>
      </w:r>
      <w:r w:rsidR="00941A9A">
        <w:rPr>
          <w:b/>
        </w:rPr>
        <w:t>1</w:t>
      </w:r>
      <w:r w:rsidR="007F6F55">
        <w:rPr>
          <w:b/>
        </w:rPr>
        <w:t>5</w:t>
      </w:r>
      <w:r>
        <w:t xml:space="preserve"> täiendatakse </w:t>
      </w:r>
      <w:r w:rsidR="00C7149C">
        <w:t xml:space="preserve">määruse </w:t>
      </w:r>
      <w:r>
        <w:t>§ 7 lõikega 10. PRIA koostab taotlemiseks vajaliku ehitustegevuse hinnapakkumuse vormi vastavalt määruses sätestatule ja avaldab selle oma veebilehel.</w:t>
      </w:r>
    </w:p>
    <w:p w14:paraId="7B5BAB3B" w14:textId="6D29E18C" w:rsidR="006B644F" w:rsidRPr="00BD47C8" w:rsidRDefault="006B644F" w:rsidP="004356F0">
      <w:pPr>
        <w:jc w:val="both"/>
        <w:rPr>
          <w:b/>
        </w:rPr>
      </w:pPr>
    </w:p>
    <w:p w14:paraId="7ABEA4CD" w14:textId="5659A83B" w:rsidR="006B644F" w:rsidRPr="00F3403C" w:rsidRDefault="00505B1A" w:rsidP="00F3403C">
      <w:pPr>
        <w:jc w:val="both"/>
      </w:pPr>
      <w:r>
        <w:rPr>
          <w:b/>
        </w:rPr>
        <w:t xml:space="preserve">Eelnõu punktis </w:t>
      </w:r>
      <w:r w:rsidR="007F6F55">
        <w:rPr>
          <w:b/>
        </w:rPr>
        <w:t>16</w:t>
      </w:r>
      <w:r w:rsidR="00F3403C" w:rsidRPr="00F3403C">
        <w:rPr>
          <w:b/>
        </w:rPr>
        <w:t xml:space="preserve"> </w:t>
      </w:r>
      <w:r w:rsidR="00F3403C" w:rsidRPr="00F3403C">
        <w:t>täpsustatakse toetuse määra. 15-protsendiline minimaalne toetuse määr</w:t>
      </w:r>
      <w:r w:rsidR="00F3403C">
        <w:t xml:space="preserve"> </w:t>
      </w:r>
      <w:r w:rsidR="00F3403C" w:rsidRPr="00F3403C">
        <w:t>abikõlblikest kuludest on nimetatud arengukavas ja selle eesmärk on tagada toetuse ergutav</w:t>
      </w:r>
      <w:r w:rsidR="00F3403C">
        <w:t xml:space="preserve"> </w:t>
      </w:r>
      <w:r w:rsidR="00F3403C" w:rsidRPr="00F3403C">
        <w:t>mõju. Tegemist on horisontaalse nõudega kõigi arengukava investeeringu</w:t>
      </w:r>
      <w:r w:rsidR="00DB48E2">
        <w:t>toetus</w:t>
      </w:r>
      <w:r w:rsidR="00F3403C" w:rsidRPr="00F3403C">
        <w:t>te puhul,</w:t>
      </w:r>
      <w:r w:rsidR="00F3403C">
        <w:t xml:space="preserve"> </w:t>
      </w:r>
      <w:r w:rsidR="00F3403C" w:rsidRPr="00F3403C">
        <w:t>mille eesmärk on tagada toetuse andmine üksnes siis, kui toetuse saajal ei oleks tõenäoliselt</w:t>
      </w:r>
      <w:r w:rsidR="00F3403C">
        <w:t xml:space="preserve"> </w:t>
      </w:r>
      <w:r w:rsidR="00F3403C" w:rsidRPr="00F3403C">
        <w:t>võimalik investeeringut teha ilma toetuse abita. Seega eesmärk on tagada, et toetusega</w:t>
      </w:r>
      <w:r w:rsidR="00F3403C">
        <w:t xml:space="preserve"> </w:t>
      </w:r>
      <w:r w:rsidR="00F3403C" w:rsidRPr="00F3403C">
        <w:t xml:space="preserve">kaasneks toetuse saajale ergutav mõju. Kui </w:t>
      </w:r>
      <w:r w:rsidR="00DB48E2">
        <w:t xml:space="preserve">toetatava tegevuse </w:t>
      </w:r>
      <w:r w:rsidR="00F3403C" w:rsidRPr="00F3403C">
        <w:t>abikõlblike kulude</w:t>
      </w:r>
      <w:r w:rsidR="0050325D">
        <w:t xml:space="preserve"> maksumuse</w:t>
      </w:r>
      <w:r w:rsidR="00F3403C" w:rsidRPr="00F3403C">
        <w:t>st moodustab toetus väga</w:t>
      </w:r>
      <w:r w:rsidR="00F3403C">
        <w:t xml:space="preserve"> </w:t>
      </w:r>
      <w:r w:rsidR="00F3403C" w:rsidRPr="00F3403C">
        <w:t>väikese osa ehk alla 15%, siis on toetuse taotlejal tõenäoliselt võimalik teha investeering ka</w:t>
      </w:r>
      <w:r w:rsidR="00F3403C">
        <w:t xml:space="preserve"> </w:t>
      </w:r>
      <w:r w:rsidR="00F3403C" w:rsidRPr="00F3403C">
        <w:t xml:space="preserve">ilma toetuseta. Kuna üldjuhul on arengukavas </w:t>
      </w:r>
      <w:r w:rsidR="007F6F55">
        <w:t>toodud i</w:t>
      </w:r>
      <w:r w:rsidR="00FA6DE0">
        <w:t>ga investeeringutoetuse kohta</w:t>
      </w:r>
      <w:r w:rsidR="007F6F55">
        <w:t xml:space="preserve"> täpsemad </w:t>
      </w:r>
      <w:r w:rsidR="00F3403C" w:rsidRPr="00F3403C">
        <w:t>nõuded</w:t>
      </w:r>
      <w:r w:rsidR="007F6F55">
        <w:t xml:space="preserve"> toetuse saamiseks</w:t>
      </w:r>
      <w:r w:rsidR="00F3403C" w:rsidRPr="00F3403C">
        <w:t xml:space="preserve">, sätestatakse nimetatud </w:t>
      </w:r>
      <w:r w:rsidR="00B312B3">
        <w:t xml:space="preserve">toetuse </w:t>
      </w:r>
      <w:r w:rsidR="00F3403C" w:rsidRPr="00F3403C">
        <w:t>minimaalne määr selguse huvides ka määruses.</w:t>
      </w:r>
    </w:p>
    <w:p w14:paraId="7F268F40" w14:textId="77777777" w:rsidR="00C939F6" w:rsidRPr="002A578D" w:rsidRDefault="00C939F6" w:rsidP="004356F0">
      <w:pPr>
        <w:jc w:val="both"/>
      </w:pPr>
    </w:p>
    <w:p w14:paraId="05529792" w14:textId="7ACE3123" w:rsidR="00C939F6" w:rsidRPr="00E6392A" w:rsidRDefault="005D33FF" w:rsidP="004356F0">
      <w:pPr>
        <w:jc w:val="both"/>
      </w:pPr>
      <w:r w:rsidRPr="002A578D">
        <w:rPr>
          <w:b/>
        </w:rPr>
        <w:t>Eelnõu punktide</w:t>
      </w:r>
      <w:r w:rsidR="00C27EE8" w:rsidRPr="002A578D">
        <w:rPr>
          <w:b/>
        </w:rPr>
        <w:t>ga</w:t>
      </w:r>
      <w:r w:rsidR="00197F20" w:rsidRPr="002A578D">
        <w:rPr>
          <w:b/>
        </w:rPr>
        <w:t xml:space="preserve"> </w:t>
      </w:r>
      <w:r w:rsidR="00187CE6">
        <w:rPr>
          <w:b/>
        </w:rPr>
        <w:t>17</w:t>
      </w:r>
      <w:r w:rsidR="00505B1A">
        <w:rPr>
          <w:b/>
        </w:rPr>
        <w:t xml:space="preserve">, </w:t>
      </w:r>
      <w:r w:rsidR="00187CE6">
        <w:rPr>
          <w:b/>
        </w:rPr>
        <w:t>18</w:t>
      </w:r>
      <w:r w:rsidR="00197F20" w:rsidRPr="002A578D">
        <w:rPr>
          <w:b/>
        </w:rPr>
        <w:t xml:space="preserve"> ja </w:t>
      </w:r>
      <w:r w:rsidR="00187CE6">
        <w:rPr>
          <w:b/>
        </w:rPr>
        <w:t>21</w:t>
      </w:r>
      <w:r w:rsidR="00C939F6" w:rsidRPr="002A578D">
        <w:rPr>
          <w:b/>
        </w:rPr>
        <w:t xml:space="preserve"> </w:t>
      </w:r>
      <w:r w:rsidR="00074F25" w:rsidRPr="002809DA">
        <w:t xml:space="preserve">sätestatud </w:t>
      </w:r>
      <w:r w:rsidR="00C27EE8" w:rsidRPr="002A578D">
        <w:t>muud</w:t>
      </w:r>
      <w:r w:rsidR="00074F25" w:rsidRPr="002A578D">
        <w:t>atused</w:t>
      </w:r>
      <w:r w:rsidR="0061552E">
        <w:t xml:space="preserve"> </w:t>
      </w:r>
      <w:r w:rsidR="002A578D" w:rsidRPr="002A578D">
        <w:t xml:space="preserve">tulenevad </w:t>
      </w:r>
      <w:r w:rsidR="00D65892">
        <w:t xml:space="preserve">peamiselt </w:t>
      </w:r>
      <w:r w:rsidR="002A578D" w:rsidRPr="002A578D">
        <w:t>elektroonsele taotlemisele üleminekust.</w:t>
      </w:r>
      <w:r w:rsidR="00C939F6" w:rsidRPr="002A578D">
        <w:t xml:space="preserve"> </w:t>
      </w:r>
      <w:r w:rsidR="00C27EE8" w:rsidRPr="002A578D">
        <w:t xml:space="preserve">Edaspidi </w:t>
      </w:r>
      <w:r w:rsidR="00C7376C">
        <w:t>võetakse</w:t>
      </w:r>
      <w:r w:rsidR="00C7376C" w:rsidRPr="002A578D">
        <w:t xml:space="preserve"> </w:t>
      </w:r>
      <w:r w:rsidR="00C939F6" w:rsidRPr="002A578D">
        <w:t>toetuse taotlus</w:t>
      </w:r>
      <w:r w:rsidR="00C7376C">
        <w:t>i</w:t>
      </w:r>
      <w:r w:rsidR="00C939F6" w:rsidRPr="002A578D">
        <w:t xml:space="preserve"> vastu </w:t>
      </w:r>
      <w:r w:rsidR="00074F25" w:rsidRPr="00840E90">
        <w:t>üksnes</w:t>
      </w:r>
      <w:r w:rsidR="00074F25" w:rsidRPr="002A578D">
        <w:t xml:space="preserve"> </w:t>
      </w:r>
      <w:r w:rsidR="00C939F6" w:rsidRPr="002A578D">
        <w:t>PRIA e-teenuse</w:t>
      </w:r>
      <w:r w:rsidRPr="002A578D">
        <w:t xml:space="preserve"> </w:t>
      </w:r>
      <w:r w:rsidR="00C939F6" w:rsidRPr="002A578D">
        <w:t xml:space="preserve">keskkonna kaudu. </w:t>
      </w:r>
      <w:r w:rsidR="002A578D" w:rsidRPr="002A578D">
        <w:t>T</w:t>
      </w:r>
      <w:r w:rsidR="00C939F6" w:rsidRPr="002A578D">
        <w:t>aotlusi ei võeta e</w:t>
      </w:r>
      <w:r w:rsidR="00135EE8" w:rsidRPr="002A578D">
        <w:t>nam</w:t>
      </w:r>
      <w:r w:rsidR="00C939F6" w:rsidRPr="002A578D">
        <w:t xml:space="preserve"> vastu, kui need on esitatud e-posti teel või</w:t>
      </w:r>
      <w:r w:rsidRPr="002A578D">
        <w:t xml:space="preserve"> </w:t>
      </w:r>
      <w:r w:rsidR="00C939F6" w:rsidRPr="002A578D">
        <w:t>paberil (piirkondlikus büroos). Toetuse saamiseks esitab taotleja edaspidi PRIA e-teenuse</w:t>
      </w:r>
      <w:r w:rsidRPr="002A578D">
        <w:t xml:space="preserve"> </w:t>
      </w:r>
      <w:r w:rsidR="00C939F6" w:rsidRPr="002A578D">
        <w:t>keskkonna kaudu selleks ettenähtud tähtajal PRIA-le avalduse ning selles esitatud andmeid</w:t>
      </w:r>
      <w:r w:rsidRPr="002A578D">
        <w:t xml:space="preserve"> </w:t>
      </w:r>
      <w:r w:rsidR="00337550">
        <w:t xml:space="preserve">ja </w:t>
      </w:r>
      <w:r w:rsidR="00337550">
        <w:lastRenderedPageBreak/>
        <w:t>hindamiskriteer</w:t>
      </w:r>
      <w:r w:rsidR="00B30926">
        <w:t>i</w:t>
      </w:r>
      <w:r w:rsidR="00337550">
        <w:t>umi</w:t>
      </w:r>
      <w:r w:rsidR="00C7376C">
        <w:t>t</w:t>
      </w:r>
      <w:r w:rsidR="00337550">
        <w:t xml:space="preserve">e täitmist </w:t>
      </w:r>
      <w:r w:rsidR="00C939F6" w:rsidRPr="00337550">
        <w:t xml:space="preserve">tõendavad dokumendid. </w:t>
      </w:r>
      <w:r w:rsidR="007B0121">
        <w:t xml:space="preserve">Juhul, kui tegemist on sellise seadmega, mille kohta on ehitusseadustiku kohaselt nõutud ehitusluba või ehitusteatis, siis </w:t>
      </w:r>
      <w:r w:rsidR="00FD65B2" w:rsidRPr="00E6392A">
        <w:t xml:space="preserve">ei pea </w:t>
      </w:r>
      <w:r w:rsidR="00C6790F">
        <w:t>t</w:t>
      </w:r>
      <w:r w:rsidR="00C6790F" w:rsidRPr="00E6392A">
        <w:t>aotleja</w:t>
      </w:r>
      <w:r w:rsidR="00C6790F">
        <w:t xml:space="preserve"> </w:t>
      </w:r>
      <w:r w:rsidR="007B0121">
        <w:t xml:space="preserve">seda </w:t>
      </w:r>
      <w:r w:rsidR="00FD65B2" w:rsidRPr="00E6392A">
        <w:t xml:space="preserve">enam </w:t>
      </w:r>
      <w:r w:rsidR="007B0121">
        <w:t xml:space="preserve">PRIA-le </w:t>
      </w:r>
      <w:r w:rsidR="00FD65B2" w:rsidRPr="00E6392A">
        <w:t>esi</w:t>
      </w:r>
      <w:r w:rsidR="007B0121">
        <w:t>tama</w:t>
      </w:r>
      <w:r w:rsidR="00C7376C">
        <w:t>,</w:t>
      </w:r>
      <w:r w:rsidR="00FD65B2" w:rsidRPr="00E6392A">
        <w:t xml:space="preserve"> vaid see peab olema kättesaadav ehitisregistrist.</w:t>
      </w:r>
      <w:r w:rsidR="007B0121">
        <w:t xml:space="preserve"> </w:t>
      </w:r>
      <w:r w:rsidR="00B9355D">
        <w:t xml:space="preserve">Samuti täpsustatakse neid andmeid, mida taotleja peab esitama tõendamaks, et ta vastab </w:t>
      </w:r>
      <w:r w:rsidR="00D65892">
        <w:t xml:space="preserve">määruse </w:t>
      </w:r>
      <w:r w:rsidR="00B9355D">
        <w:t xml:space="preserve">§-s 3 sätestatud </w:t>
      </w:r>
      <w:r w:rsidR="00734A82">
        <w:t>mikro-, väike</w:t>
      </w:r>
      <w:r w:rsidR="00C6790F">
        <w:t>-</w:t>
      </w:r>
      <w:r w:rsidR="00734A82">
        <w:t xml:space="preserve"> või </w:t>
      </w:r>
      <w:r w:rsidR="00B9355D">
        <w:t>keskmise suurusega ettevõtjale või suurettevõtjale esitatud nõuetele. Seega taotleja</w:t>
      </w:r>
      <w:r w:rsidR="00F24EE5">
        <w:t xml:space="preserve"> suuruse määramiseks</w:t>
      </w:r>
      <w:r w:rsidR="00B9355D">
        <w:t xml:space="preserve"> peab taotleja esitama järgmised andmed: 1) </w:t>
      </w:r>
      <w:r w:rsidR="00F24EE5">
        <w:t>kas ta</w:t>
      </w:r>
      <w:r w:rsidR="00B9355D">
        <w:t xml:space="preserve"> on autonoomne ettevõtja, partnerettevõtja või seotud ettevõtja</w:t>
      </w:r>
      <w:r w:rsidR="00F24EE5">
        <w:t>; 2)</w:t>
      </w:r>
      <w:r w:rsidR="00C7376C">
        <w:t xml:space="preserve"> andmed </w:t>
      </w:r>
      <w:r w:rsidR="00F24EE5">
        <w:t>taotleja</w:t>
      </w:r>
      <w:r w:rsidR="00B9355D">
        <w:t xml:space="preserve"> kontserni liikmete ja taotleja üle lepingu või muu alusel valitsevat mõju omava ettevõtja kohta; 3) </w:t>
      </w:r>
      <w:r w:rsidR="00C7376C">
        <w:t xml:space="preserve">andmed </w:t>
      </w:r>
      <w:r w:rsidR="00B9355D">
        <w:t>taotleja olemasolevate töökohtade ja töötajate arvu kohta.</w:t>
      </w:r>
    </w:p>
    <w:p w14:paraId="4C8D5F54" w14:textId="77777777" w:rsidR="002968E0" w:rsidRPr="005601D6" w:rsidRDefault="002968E0" w:rsidP="004356F0">
      <w:pPr>
        <w:jc w:val="both"/>
      </w:pPr>
    </w:p>
    <w:p w14:paraId="668F088F" w14:textId="416A70CD" w:rsidR="00744455" w:rsidRPr="002A578D" w:rsidRDefault="00744455" w:rsidP="004356F0">
      <w:pPr>
        <w:jc w:val="both"/>
      </w:pPr>
      <w:r w:rsidRPr="002A578D">
        <w:rPr>
          <w:b/>
        </w:rPr>
        <w:t xml:space="preserve">Eelnõu punktis </w:t>
      </w:r>
      <w:r w:rsidR="00187CE6">
        <w:rPr>
          <w:b/>
        </w:rPr>
        <w:t>19</w:t>
      </w:r>
      <w:r w:rsidR="001B3407" w:rsidRPr="002A578D">
        <w:rPr>
          <w:b/>
        </w:rPr>
        <w:t xml:space="preserve"> </w:t>
      </w:r>
      <w:r w:rsidRPr="002A578D">
        <w:t>täpsustatakse, milliseid andmeid peab taotleja avalduses esitama.</w:t>
      </w:r>
    </w:p>
    <w:p w14:paraId="18483722" w14:textId="77777777" w:rsidR="00744455" w:rsidRPr="002A578D" w:rsidRDefault="00744455" w:rsidP="004356F0">
      <w:pPr>
        <w:jc w:val="both"/>
      </w:pPr>
    </w:p>
    <w:p w14:paraId="2577DD62" w14:textId="728BA540" w:rsidR="00744455" w:rsidRPr="00712124" w:rsidRDefault="0042576F" w:rsidP="00712124">
      <w:pPr>
        <w:jc w:val="both"/>
      </w:pPr>
      <w:r w:rsidRPr="002A578D">
        <w:rPr>
          <w:b/>
        </w:rPr>
        <w:t>Eelnõu punkti</w:t>
      </w:r>
      <w:r w:rsidR="00E42800" w:rsidRPr="002A578D">
        <w:rPr>
          <w:b/>
        </w:rPr>
        <w:t>ga</w:t>
      </w:r>
      <w:r w:rsidRPr="002A578D">
        <w:rPr>
          <w:b/>
        </w:rPr>
        <w:t xml:space="preserve"> </w:t>
      </w:r>
      <w:r w:rsidR="00002AAF">
        <w:rPr>
          <w:b/>
        </w:rPr>
        <w:t>20</w:t>
      </w:r>
      <w:r w:rsidRPr="002A578D">
        <w:t xml:space="preserve"> </w:t>
      </w:r>
      <w:r w:rsidR="001B3407" w:rsidRPr="002A578D">
        <w:t>täiendatakse loetelu</w:t>
      </w:r>
      <w:r w:rsidR="00B30926">
        <w:t xml:space="preserve"> selle kohta</w:t>
      </w:r>
      <w:r w:rsidR="001B3407" w:rsidRPr="002A578D">
        <w:t>,</w:t>
      </w:r>
      <w:r w:rsidR="000A6116" w:rsidRPr="002A578D">
        <w:t xml:space="preserve"> milliseid andmeid peab taotleja avalduses esitama. </w:t>
      </w:r>
      <w:r w:rsidR="00AE6692" w:rsidRPr="002A578D">
        <w:t>Euroopa Komisjoni selgituste</w:t>
      </w:r>
      <w:r w:rsidR="00CD07B7">
        <w:t xml:space="preserve"> kohase</w:t>
      </w:r>
      <w:r w:rsidR="00AE6692" w:rsidRPr="002A578D">
        <w:t>l</w:t>
      </w:r>
      <w:r w:rsidR="00CD07B7">
        <w:t>t</w:t>
      </w:r>
      <w:r w:rsidR="00AE6692" w:rsidRPr="002A578D">
        <w:t xml:space="preserve"> tuleb liikmesriikidel muuta kõiki </w:t>
      </w:r>
      <w:r w:rsidR="00A30ADC">
        <w:t>komisjoni</w:t>
      </w:r>
      <w:r w:rsidR="00AE6692" w:rsidRPr="002A578D">
        <w:t xml:space="preserve"> määruse </w:t>
      </w:r>
      <w:r w:rsidR="00A30ADC">
        <w:t xml:space="preserve">(EL) nr 651/2014 </w:t>
      </w:r>
      <w:r w:rsidR="00AE6692" w:rsidRPr="002A578D">
        <w:t xml:space="preserve">alusel rakendatavaid investeeringuteks ettenähtud regionaalabi kavasid, et võtta arvesse muudatusi nn ümberpaigutamist keelavates sätetes. </w:t>
      </w:r>
      <w:r w:rsidR="00484BEE" w:rsidRPr="002A578D">
        <w:t>Komisjoni määrus</w:t>
      </w:r>
      <w:r w:rsidR="00B30926">
        <w:t>e</w:t>
      </w:r>
      <w:r w:rsidR="00A30ADC">
        <w:t>ga</w:t>
      </w:r>
      <w:r w:rsidR="00484BEE" w:rsidRPr="002A578D">
        <w:t xml:space="preserve"> (EL) 2017/1084, millega muudetakse määrust (EL) nr 651/2014 sadama- ja lennujaamataristule antava abi, kultuuri edendamiseks ja kultuuripärandi säilitamiseks antavast abist teavitamise künnise, spordi- ja mitmeotstarbelise vaba aja veetmise taristule antava abi ja äärepoolseimaid piirkondi käsitlevate regionaalse tegevusabi kavade osas ning millega muudetakse määrust (EL) nr 702/2014 abikõlblike kulude arvutamise osas </w:t>
      </w:r>
      <w:r w:rsidR="00826E86" w:rsidRPr="002A578D">
        <w:t xml:space="preserve">(ELT L 156, 20.06.2017, lk 1–18), </w:t>
      </w:r>
      <w:r w:rsidR="00484BEE" w:rsidRPr="002A578D">
        <w:t xml:space="preserve">täiendatakse </w:t>
      </w:r>
      <w:r w:rsidR="00A30ADC">
        <w:t>k</w:t>
      </w:r>
      <w:r w:rsidR="00154BE8" w:rsidRPr="002A578D">
        <w:t xml:space="preserve">omisjoni </w:t>
      </w:r>
      <w:r w:rsidR="00484BEE" w:rsidRPr="002A578D">
        <w:t>määruse (EL) nr 651/2014 artiklit</w:t>
      </w:r>
      <w:r w:rsidR="00B35641" w:rsidRPr="002A578D">
        <w:t xml:space="preserve"> 14</w:t>
      </w:r>
      <w:r w:rsidR="00154BE8" w:rsidRPr="002A578D">
        <w:t xml:space="preserve"> lõikega 16</w:t>
      </w:r>
      <w:r w:rsidR="00B30926">
        <w:t xml:space="preserve">, </w:t>
      </w:r>
      <w:r w:rsidR="002809DA">
        <w:t>mille</w:t>
      </w:r>
      <w:r w:rsidR="00A30ADC">
        <w:t xml:space="preserve"> </w:t>
      </w:r>
      <w:r w:rsidR="00484BEE" w:rsidRPr="002A578D">
        <w:t xml:space="preserve">kohaselt </w:t>
      </w:r>
      <w:r w:rsidR="00712124" w:rsidRPr="00712124">
        <w:t>abisaaja kinnitab, et kahe aasta jooksul enne abitaotluse esitamist ei ole toimunud ümberpaigutamist ettevõttesse, kuhu tehakse taotletud abi alusel algne investeering, ning ta võtab kohustuse, et ümberpaigutamist ei toimu kahe aasta jooksul pärast seda, kui taotletud abi alusel on algne investeering tehtud.</w:t>
      </w:r>
    </w:p>
    <w:p w14:paraId="4EEF5055" w14:textId="77777777" w:rsidR="00712124" w:rsidRDefault="00712124" w:rsidP="004356F0">
      <w:pPr>
        <w:jc w:val="both"/>
      </w:pPr>
    </w:p>
    <w:p w14:paraId="0D6136F7" w14:textId="104A8EA3" w:rsidR="00712124" w:rsidRDefault="00712124" w:rsidP="004356F0">
      <w:pPr>
        <w:jc w:val="both"/>
      </w:pPr>
      <w:r w:rsidRPr="00712124">
        <w:t xml:space="preserve">See tähendab, et taotleja peab kinnitama, et kahe aasta jooksul enne taotluse esitamist ei ole toimunud ühest ettevõttest sama või sarnase tegevuse või selle osa üleviimist sellesse ettevõttesse, kuhu taotletava toetuse abil tehakse investeering ehk ei ole toimunud ümberpaigutamist ettevõttesse, kuhu </w:t>
      </w:r>
      <w:r>
        <w:t xml:space="preserve">tehakse </w:t>
      </w:r>
      <w:r w:rsidRPr="00712124">
        <w:t xml:space="preserve">taotletava toetuse abil esialgne investeering. Lisaks peab toetuse saaja kinnitama, et kahe aasta jooksul arvates </w:t>
      </w:r>
      <w:r>
        <w:t>PRIA</w:t>
      </w:r>
      <w:r w:rsidRPr="00712124">
        <w:t xml:space="preserve"> poolt viimase toetusosa väljamaksmisest ei toimu sellest ettevõttest ümberpaigutamist, kuhu </w:t>
      </w:r>
      <w:r>
        <w:t xml:space="preserve">saadud </w:t>
      </w:r>
      <w:r w:rsidRPr="00712124">
        <w:t>toetuse abil on investeering tehtud.</w:t>
      </w:r>
    </w:p>
    <w:p w14:paraId="6B9F9985" w14:textId="77777777" w:rsidR="00712124" w:rsidRDefault="00712124" w:rsidP="004356F0">
      <w:pPr>
        <w:jc w:val="both"/>
      </w:pPr>
    </w:p>
    <w:p w14:paraId="0274BDC4" w14:textId="77EB514C" w:rsidR="00484BEE" w:rsidRDefault="00B35641" w:rsidP="004356F0">
      <w:pPr>
        <w:jc w:val="both"/>
      </w:pPr>
      <w:r w:rsidRPr="002A578D">
        <w:t xml:space="preserve">Ümberpaigutamise </w:t>
      </w:r>
      <w:r w:rsidR="00826E86" w:rsidRPr="002A578D">
        <w:t>mõiste</w:t>
      </w:r>
      <w:r w:rsidR="003F3EAA" w:rsidRPr="002A578D">
        <w:t xml:space="preserve"> </w:t>
      </w:r>
      <w:r w:rsidRPr="002A578D">
        <w:t xml:space="preserve">on toodud </w:t>
      </w:r>
      <w:r w:rsidR="00826E86" w:rsidRPr="002A578D">
        <w:t xml:space="preserve">komisjoni </w:t>
      </w:r>
      <w:r w:rsidRPr="002A578D">
        <w:t>määruse (EL)</w:t>
      </w:r>
      <w:r w:rsidR="000C0CD2" w:rsidRPr="000C0CD2">
        <w:t xml:space="preserve"> </w:t>
      </w:r>
      <w:r w:rsidR="000C0CD2">
        <w:t xml:space="preserve">nr 651/2014 artikli 2 punktis </w:t>
      </w:r>
      <w:r w:rsidR="000C0CD2" w:rsidRPr="000C0CD2">
        <w:t>6</w:t>
      </w:r>
      <w:r w:rsidR="000C0CD2">
        <w:t>1a</w:t>
      </w:r>
      <w:r w:rsidRPr="002A578D">
        <w:t xml:space="preserve">, mille kohaselt </w:t>
      </w:r>
      <w:r w:rsidR="00597686" w:rsidRPr="002A578D">
        <w:t xml:space="preserve">on </w:t>
      </w:r>
      <w:r w:rsidRPr="002A578D">
        <w:t>ümberpaigutamine sama või sarnase tegevuse või selle osa üleviimine ühest EMP lepingu osalisriigi ettevõttest (algne ettevõte) teise EMP lepingu muu</w:t>
      </w:r>
      <w:r w:rsidR="000C0CD2">
        <w:t>s</w:t>
      </w:r>
      <w:r w:rsidRPr="002A578D">
        <w:t xml:space="preserve"> osalisriigis asuvasse ettevõttesse, kuhu toetatav investeering tehakse (toetatav ettevõte). Ümberpaigutamine toimub siis, kui toode või teenus täidab nii algses kui </w:t>
      </w:r>
      <w:r w:rsidR="000C0CD2">
        <w:t xml:space="preserve">ka </w:t>
      </w:r>
      <w:r w:rsidRPr="002A578D">
        <w:t xml:space="preserve">toetatavas ettevõttes vähemalt osaliselt sama </w:t>
      </w:r>
      <w:r w:rsidR="007B312C" w:rsidRPr="002A578D">
        <w:t>o</w:t>
      </w:r>
      <w:r w:rsidRPr="002A578D">
        <w:t xml:space="preserve">tstarvet ja vastab sama </w:t>
      </w:r>
      <w:r w:rsidR="007B312C" w:rsidRPr="002A578D">
        <w:t xml:space="preserve">liiki tarbija nõudmisele või vajadustele </w:t>
      </w:r>
      <w:r w:rsidR="00EA6693">
        <w:t>ning</w:t>
      </w:r>
      <w:r w:rsidR="00597686" w:rsidRPr="002A578D">
        <w:t xml:space="preserve"> </w:t>
      </w:r>
      <w:r w:rsidR="007B312C" w:rsidRPr="002A578D">
        <w:t>EMP</w:t>
      </w:r>
      <w:r w:rsidR="00825960">
        <w:t>-</w:t>
      </w:r>
      <w:r w:rsidR="007B312C" w:rsidRPr="002A578D">
        <w:t>s asuva abisaaja ühes ettevõttes lähevad samas või sarnases tegevusalas kaduma töökohad.</w:t>
      </w:r>
    </w:p>
    <w:p w14:paraId="68A58240" w14:textId="77777777" w:rsidR="001F1F70" w:rsidRPr="002A578D" w:rsidRDefault="001F1F70" w:rsidP="004356F0">
      <w:pPr>
        <w:jc w:val="both"/>
      </w:pPr>
    </w:p>
    <w:p w14:paraId="53A0AE6A" w14:textId="30F79496" w:rsidR="00484BEE" w:rsidRDefault="007B312C" w:rsidP="004356F0">
      <w:pPr>
        <w:jc w:val="both"/>
      </w:pPr>
      <w:r w:rsidRPr="002A578D">
        <w:t>Seega on ü</w:t>
      </w:r>
      <w:r w:rsidR="00484BEE" w:rsidRPr="002A578D">
        <w:t>m</w:t>
      </w:r>
      <w:r w:rsidRPr="002A578D">
        <w:t>berpaigutamise</w:t>
      </w:r>
      <w:r w:rsidR="00C051EA">
        <w:t>ga</w:t>
      </w:r>
      <w:r w:rsidRPr="002A578D">
        <w:t xml:space="preserve"> </w:t>
      </w:r>
      <w:r w:rsidR="00597686" w:rsidRPr="002A578D">
        <w:t xml:space="preserve">tegemist </w:t>
      </w:r>
      <w:r w:rsidRPr="002A578D">
        <w:t>sel juhul</w:t>
      </w:r>
      <w:r w:rsidR="00B559A6" w:rsidRPr="002A578D">
        <w:t>,</w:t>
      </w:r>
      <w:r w:rsidR="00484BEE" w:rsidRPr="002A578D">
        <w:t xml:space="preserve"> kui </w:t>
      </w:r>
      <w:r w:rsidR="00597686">
        <w:t xml:space="preserve">on täidetud viis </w:t>
      </w:r>
      <w:r w:rsidR="00484BEE" w:rsidRPr="002A578D">
        <w:t>kumulatiivset</w:t>
      </w:r>
      <w:r w:rsidR="008574CB" w:rsidRPr="008574CB">
        <w:t xml:space="preserve"> </w:t>
      </w:r>
      <w:r w:rsidR="008574CB">
        <w:t>tingimust</w:t>
      </w:r>
      <w:r w:rsidR="00B35641" w:rsidRPr="002A578D">
        <w:t xml:space="preserve">: </w:t>
      </w:r>
      <w:r w:rsidR="00484BEE" w:rsidRPr="002A578D">
        <w:t>1)</w:t>
      </w:r>
      <w:r w:rsidR="001F1F70">
        <w:t> </w:t>
      </w:r>
      <w:r w:rsidR="00154BE8" w:rsidRPr="002A578D">
        <w:t>s</w:t>
      </w:r>
      <w:r w:rsidR="00484BEE" w:rsidRPr="002A578D">
        <w:t>ama või s</w:t>
      </w:r>
      <w:r w:rsidR="00154BE8" w:rsidRPr="002A578D">
        <w:t>arnase tegevuse üleviimine; 2) e</w:t>
      </w:r>
      <w:r w:rsidR="00484BEE" w:rsidRPr="002A578D">
        <w:t>elnimetatud üleviimine toimub ühes</w:t>
      </w:r>
      <w:r w:rsidR="00154BE8" w:rsidRPr="002A578D">
        <w:t>t EMP liikmesriigist teise; 3) t</w:t>
      </w:r>
      <w:r w:rsidR="00484BEE" w:rsidRPr="002A578D">
        <w:t>oode või teenus täidab mõlemas ettevõttes vähemal</w:t>
      </w:r>
      <w:r w:rsidR="00154BE8" w:rsidRPr="002A578D">
        <w:t>t osaliselt sama otstarvet; 4) t</w:t>
      </w:r>
      <w:r w:rsidR="00484BEE" w:rsidRPr="002A578D">
        <w:t>oode või teenus vastab mõlemas EMP liikmesriigis sama liiki tarbija nõudmistele või vajadustele; 5) EMP</w:t>
      </w:r>
      <w:r w:rsidR="00752438">
        <w:t>-</w:t>
      </w:r>
      <w:r w:rsidR="00484BEE" w:rsidRPr="002A578D">
        <w:t>s asuva abisaaja ühes ettevõttes lähevad sama</w:t>
      </w:r>
      <w:r w:rsidR="00597686">
        <w:t>s</w:t>
      </w:r>
      <w:r w:rsidR="00484BEE" w:rsidRPr="002A578D">
        <w:t xml:space="preserve"> või sarnases tegevusalas kaduma töökohad.</w:t>
      </w:r>
    </w:p>
    <w:p w14:paraId="7B636755" w14:textId="77777777" w:rsidR="001F1F70" w:rsidRPr="002A578D" w:rsidRDefault="001F1F70" w:rsidP="004356F0">
      <w:pPr>
        <w:jc w:val="both"/>
      </w:pPr>
    </w:p>
    <w:p w14:paraId="56500AC6" w14:textId="56CD8600" w:rsidR="007B312C" w:rsidRPr="002A578D" w:rsidRDefault="00154BE8" w:rsidP="004356F0">
      <w:pPr>
        <w:jc w:val="both"/>
      </w:pPr>
      <w:r w:rsidRPr="002A578D">
        <w:t>Näiteks e</w:t>
      </w:r>
      <w:r w:rsidR="00212628" w:rsidRPr="002A578D">
        <w:t>ttevõtja A tegutseb Eestis ja toodab vorsti ning taotleb investeeringutoetust seadmete os</w:t>
      </w:r>
      <w:r w:rsidR="00825960">
        <w:t>t</w:t>
      </w:r>
      <w:r w:rsidR="00212628" w:rsidRPr="002A578D">
        <w:t xml:space="preserve">miseks. Samal ajal </w:t>
      </w:r>
      <w:r w:rsidR="00EA6693">
        <w:t>laiendab</w:t>
      </w:r>
      <w:r w:rsidR="00EA6693" w:rsidRPr="002A578D">
        <w:t xml:space="preserve"> </w:t>
      </w:r>
      <w:r w:rsidR="00212628" w:rsidRPr="002A578D">
        <w:t>e</w:t>
      </w:r>
      <w:r w:rsidR="00F356F7">
        <w:t>ttevõtja A oma tegevusala</w:t>
      </w:r>
      <w:r w:rsidR="00212628" w:rsidRPr="002A578D">
        <w:t xml:space="preserve"> </w:t>
      </w:r>
      <w:r w:rsidR="00F356F7">
        <w:t xml:space="preserve">ka Lätti </w:t>
      </w:r>
      <w:r w:rsidR="00212628" w:rsidRPr="002A578D">
        <w:t xml:space="preserve">ehk </w:t>
      </w:r>
      <w:r w:rsidR="00750F1B">
        <w:t>hakkab</w:t>
      </w:r>
      <w:r w:rsidR="00F356F7">
        <w:t xml:space="preserve"> seal vorsti tootma</w:t>
      </w:r>
      <w:r w:rsidR="00212628" w:rsidRPr="002A578D">
        <w:t xml:space="preserve"> (toode täidab sama eesmärki), kuid jätkab</w:t>
      </w:r>
      <w:r w:rsidR="00597686">
        <w:t xml:space="preserve"> oma tegevust</w:t>
      </w:r>
      <w:r w:rsidR="00212628" w:rsidRPr="002A578D">
        <w:t xml:space="preserve"> ka Eestis (töökohad ei kao). </w:t>
      </w:r>
      <w:r w:rsidR="00D01B8C" w:rsidRPr="002A578D">
        <w:t xml:space="preserve">Kuna </w:t>
      </w:r>
      <w:r w:rsidR="00212628" w:rsidRPr="002A578D">
        <w:t>sama</w:t>
      </w:r>
      <w:r w:rsidR="00D01B8C" w:rsidRPr="002A578D">
        <w:t>s</w:t>
      </w:r>
      <w:r w:rsidR="00212628" w:rsidRPr="002A578D">
        <w:t xml:space="preserve"> või sarnase</w:t>
      </w:r>
      <w:r w:rsidR="00D01B8C" w:rsidRPr="002A578D">
        <w:t xml:space="preserve">s tegevusalas töökohad kaduma ei lähe, siis </w:t>
      </w:r>
      <w:r w:rsidR="00F34DC2" w:rsidRPr="002A578D">
        <w:t xml:space="preserve">ei </w:t>
      </w:r>
      <w:r w:rsidR="00D01B8C" w:rsidRPr="002A578D">
        <w:t>ole üks kumulatiivsetest tingimustest täidetud ja</w:t>
      </w:r>
      <w:r w:rsidR="00212628" w:rsidRPr="002A578D">
        <w:t xml:space="preserve"> se</w:t>
      </w:r>
      <w:r w:rsidR="00597686">
        <w:t>etõttu</w:t>
      </w:r>
      <w:r w:rsidR="00212628" w:rsidRPr="002A578D">
        <w:t xml:space="preserve"> </w:t>
      </w:r>
      <w:r w:rsidR="00F34DC2" w:rsidRPr="002A578D">
        <w:t xml:space="preserve">ei </w:t>
      </w:r>
      <w:r w:rsidR="00212628" w:rsidRPr="002A578D">
        <w:t>ole tegemist ümberpaigutamise</w:t>
      </w:r>
      <w:r w:rsidR="003279A4" w:rsidRPr="002A578D">
        <w:t>ga</w:t>
      </w:r>
      <w:r w:rsidR="00212628" w:rsidRPr="002A578D">
        <w:t xml:space="preserve"> </w:t>
      </w:r>
      <w:r w:rsidR="003279A4" w:rsidRPr="002A578D">
        <w:t xml:space="preserve">komisjoni </w:t>
      </w:r>
      <w:r w:rsidR="00212628" w:rsidRPr="002A578D">
        <w:t xml:space="preserve">määruse </w:t>
      </w:r>
      <w:r w:rsidR="00D01B8C" w:rsidRPr="002A578D">
        <w:t xml:space="preserve">(EL) </w:t>
      </w:r>
      <w:r w:rsidR="003279A4" w:rsidRPr="002A578D">
        <w:t>nr 65</w:t>
      </w:r>
      <w:r w:rsidR="00825960">
        <w:t>1</w:t>
      </w:r>
      <w:r w:rsidR="003279A4" w:rsidRPr="002A578D">
        <w:t xml:space="preserve">/2014 </w:t>
      </w:r>
      <w:r w:rsidR="00825960">
        <w:t xml:space="preserve">artikli </w:t>
      </w:r>
      <w:r w:rsidR="00D65892">
        <w:t>2</w:t>
      </w:r>
      <w:r w:rsidR="00825960">
        <w:t xml:space="preserve"> </w:t>
      </w:r>
      <w:r w:rsidR="00D65892">
        <w:t>punkti</w:t>
      </w:r>
      <w:r w:rsidR="00825960">
        <w:t xml:space="preserve"> 6</w:t>
      </w:r>
      <w:r w:rsidR="00D65892">
        <w:t>1a</w:t>
      </w:r>
      <w:r w:rsidR="00825960">
        <w:t xml:space="preserve"> </w:t>
      </w:r>
      <w:r w:rsidR="00597686">
        <w:t>tähenduses</w:t>
      </w:r>
      <w:r w:rsidR="00212628" w:rsidRPr="002A578D">
        <w:t>.</w:t>
      </w:r>
      <w:r w:rsidR="00D01B8C" w:rsidRPr="002A578D">
        <w:t xml:space="preserve"> </w:t>
      </w:r>
    </w:p>
    <w:p w14:paraId="57BA3ED8" w14:textId="77777777" w:rsidR="00744455" w:rsidRPr="002A578D" w:rsidRDefault="00744455" w:rsidP="004356F0">
      <w:pPr>
        <w:jc w:val="both"/>
      </w:pPr>
    </w:p>
    <w:p w14:paraId="1F09DA69" w14:textId="10C47A6F" w:rsidR="003B53BD" w:rsidRPr="002A578D" w:rsidRDefault="00D01B8C" w:rsidP="004356F0">
      <w:pPr>
        <w:jc w:val="both"/>
      </w:pPr>
      <w:r w:rsidRPr="002A578D">
        <w:t xml:space="preserve">Lisaks täiendatakse andmete loetelu punktidega, mille kohaselt peab </w:t>
      </w:r>
      <w:r w:rsidR="003B53BD" w:rsidRPr="002A578D">
        <w:t>taotleja esitama andmed selle kohta, kas ta on autonoomne</w:t>
      </w:r>
      <w:r w:rsidR="008574CB">
        <w:t xml:space="preserve"> ettevõtja</w:t>
      </w:r>
      <w:r w:rsidR="003B53BD" w:rsidRPr="002A578D">
        <w:t>, partner</w:t>
      </w:r>
      <w:r w:rsidR="008574CB">
        <w:t>ettevõtja</w:t>
      </w:r>
      <w:r w:rsidR="003B53BD" w:rsidRPr="002A578D">
        <w:t xml:space="preserve"> või seotud ettevõt</w:t>
      </w:r>
      <w:r w:rsidR="00F34DC2" w:rsidRPr="002A578D">
        <w:t>ja</w:t>
      </w:r>
      <w:r w:rsidR="003B53BD" w:rsidRPr="002A578D">
        <w:t xml:space="preserve"> ning </w:t>
      </w:r>
      <w:r w:rsidR="008574CB">
        <w:t xml:space="preserve">kui </w:t>
      </w:r>
      <w:r w:rsidR="00F34DC2" w:rsidRPr="002A578D">
        <w:t xml:space="preserve">palju tal </w:t>
      </w:r>
      <w:r w:rsidR="008574CB" w:rsidRPr="002A578D">
        <w:t xml:space="preserve">on </w:t>
      </w:r>
      <w:r w:rsidR="003B53BD" w:rsidRPr="002A578D">
        <w:t>töötaja</w:t>
      </w:r>
      <w:r w:rsidR="00F34DC2" w:rsidRPr="002A578D">
        <w:t>id</w:t>
      </w:r>
      <w:r w:rsidR="003B53BD" w:rsidRPr="002A578D">
        <w:t>. Kui taotleja kuulub kontserni, siis peab ta esitama andmed</w:t>
      </w:r>
      <w:r w:rsidRPr="002A578D">
        <w:t xml:space="preserve"> ka</w:t>
      </w:r>
      <w:r w:rsidR="003B53BD" w:rsidRPr="002A578D">
        <w:t xml:space="preserve"> kontserni liikmete ja taotleja üle lepingu või muul alusel valitsevat </w:t>
      </w:r>
      <w:r w:rsidRPr="002A578D">
        <w:t>mõju omava ettevõt</w:t>
      </w:r>
      <w:r w:rsidR="00F34DC2" w:rsidRPr="002A578D">
        <w:t>ja</w:t>
      </w:r>
      <w:r w:rsidRPr="002A578D">
        <w:t xml:space="preserve"> kohta. Nimetatud</w:t>
      </w:r>
      <w:r w:rsidR="003B53BD" w:rsidRPr="002A578D">
        <w:t xml:space="preserve"> andmeid kasutatakse taotleja suuruse määramisel</w:t>
      </w:r>
      <w:r w:rsidR="005C2946" w:rsidRPr="002A578D">
        <w:t xml:space="preserve">. </w:t>
      </w:r>
    </w:p>
    <w:p w14:paraId="580C9DDF" w14:textId="77777777" w:rsidR="00947A73" w:rsidRPr="002A578D" w:rsidRDefault="00947A73" w:rsidP="004356F0">
      <w:pPr>
        <w:jc w:val="both"/>
      </w:pPr>
    </w:p>
    <w:p w14:paraId="771168E6" w14:textId="15129A75" w:rsidR="00947A73" w:rsidRPr="002A578D" w:rsidRDefault="00947A73" w:rsidP="004356F0">
      <w:pPr>
        <w:jc w:val="both"/>
      </w:pPr>
      <w:r w:rsidRPr="002A578D">
        <w:rPr>
          <w:b/>
        </w:rPr>
        <w:t xml:space="preserve">Eelnõu punktis </w:t>
      </w:r>
      <w:r w:rsidR="00941A9A">
        <w:rPr>
          <w:b/>
        </w:rPr>
        <w:t>2</w:t>
      </w:r>
      <w:r w:rsidR="00002AAF">
        <w:rPr>
          <w:b/>
        </w:rPr>
        <w:t>2</w:t>
      </w:r>
      <w:r w:rsidRPr="002A578D">
        <w:t xml:space="preserve"> </w:t>
      </w:r>
      <w:r w:rsidR="003432A0" w:rsidRPr="002A578D">
        <w:t xml:space="preserve">sätestatakse, et taotleja peab esitama majandusliku jätkusuutlikkuse hindamise mudeli (lisa 1) abil koondhinnangu arvutamiseks </w:t>
      </w:r>
      <w:r w:rsidR="008574CB">
        <w:t>asjakohased</w:t>
      </w:r>
      <w:r w:rsidR="008574CB" w:rsidRPr="002A578D">
        <w:t xml:space="preserve"> </w:t>
      </w:r>
      <w:r w:rsidR="003432A0" w:rsidRPr="002A578D">
        <w:t xml:space="preserve">bilansid ja kasumiaruanded, kui need ei ole kättesaadavad äriregistrist. </w:t>
      </w:r>
      <w:r w:rsidR="00513A0E" w:rsidRPr="002A578D">
        <w:t>Samuti esitab taotleja vajaduse</w:t>
      </w:r>
      <w:r w:rsidR="008574CB">
        <w:t xml:space="preserve"> korra</w:t>
      </w:r>
      <w:r w:rsidR="00513A0E" w:rsidRPr="002A578D">
        <w:t xml:space="preserve">l kuue kuu finantsnäitajad. </w:t>
      </w:r>
      <w:r w:rsidR="00187306" w:rsidRPr="002A578D">
        <w:t>K</w:t>
      </w:r>
      <w:r w:rsidR="00513A0E" w:rsidRPr="002A578D">
        <w:t xml:space="preserve">ui taotlusvooru alguspäeva seisuga on taotleja majandusaasta kestnud vähemalt kuus kuud, </w:t>
      </w:r>
      <w:r w:rsidR="00187306" w:rsidRPr="002A578D">
        <w:t>siis</w:t>
      </w:r>
      <w:r w:rsidR="00513A0E" w:rsidRPr="002A578D">
        <w:t xml:space="preserve"> </w:t>
      </w:r>
      <w:r w:rsidR="00187306" w:rsidRPr="002A578D">
        <w:t xml:space="preserve">see </w:t>
      </w:r>
      <w:r w:rsidR="00513A0E" w:rsidRPr="002A578D">
        <w:t xml:space="preserve">periood </w:t>
      </w:r>
      <w:r w:rsidR="00187306" w:rsidRPr="002A578D">
        <w:t>annab</w:t>
      </w:r>
      <w:r w:rsidR="00513A0E" w:rsidRPr="002A578D">
        <w:t xml:space="preserve"> ettevõtja majanduslikust olukorrast </w:t>
      </w:r>
      <w:r w:rsidR="008574CB">
        <w:t>täpsema</w:t>
      </w:r>
      <w:r w:rsidR="008574CB" w:rsidRPr="002A578D">
        <w:t xml:space="preserve"> </w:t>
      </w:r>
      <w:r w:rsidR="00513A0E" w:rsidRPr="002A578D">
        <w:t>ülevaate.</w:t>
      </w:r>
    </w:p>
    <w:p w14:paraId="5D541292" w14:textId="1763F6E3" w:rsidR="00835699" w:rsidRDefault="00835699" w:rsidP="00115C0F">
      <w:pPr>
        <w:jc w:val="both"/>
      </w:pPr>
    </w:p>
    <w:p w14:paraId="71032C44" w14:textId="68BB6AF5" w:rsidR="00304937" w:rsidRPr="0077449F" w:rsidRDefault="00304937" w:rsidP="00115C0F">
      <w:pPr>
        <w:jc w:val="both"/>
      </w:pPr>
      <w:r w:rsidRPr="0074074A">
        <w:rPr>
          <w:b/>
        </w:rPr>
        <w:t>Eelnõu punktis 2</w:t>
      </w:r>
      <w:r w:rsidR="00002AAF">
        <w:rPr>
          <w:b/>
        </w:rPr>
        <w:t>3</w:t>
      </w:r>
      <w:r w:rsidR="0077449F">
        <w:t xml:space="preserve"> </w:t>
      </w:r>
      <w:r w:rsidR="0077449F" w:rsidRPr="0077449F">
        <w:t>asendatakse</w:t>
      </w:r>
      <w:r w:rsidR="0077449F">
        <w:t xml:space="preserve"> viide kehtetule määrusele viitega kehtivale määrusele.</w:t>
      </w:r>
      <w:r w:rsidR="0077449F" w:rsidRPr="0077449F">
        <w:t xml:space="preserve"> </w:t>
      </w:r>
    </w:p>
    <w:p w14:paraId="54F464C0" w14:textId="77777777" w:rsidR="00304937" w:rsidRDefault="00304937" w:rsidP="00115C0F">
      <w:pPr>
        <w:jc w:val="both"/>
      </w:pPr>
    </w:p>
    <w:p w14:paraId="6430035B" w14:textId="7C4858FF" w:rsidR="00835699" w:rsidRDefault="00835699" w:rsidP="00115C0F">
      <w:pPr>
        <w:jc w:val="both"/>
      </w:pPr>
      <w:r w:rsidRPr="00840E90">
        <w:rPr>
          <w:b/>
        </w:rPr>
        <w:t xml:space="preserve">Eelnõu punktis </w:t>
      </w:r>
      <w:r w:rsidR="00941A9A">
        <w:rPr>
          <w:b/>
        </w:rPr>
        <w:t>2</w:t>
      </w:r>
      <w:r w:rsidR="00002AAF">
        <w:rPr>
          <w:b/>
        </w:rPr>
        <w:t>4</w:t>
      </w:r>
      <w:r>
        <w:t xml:space="preserve"> </w:t>
      </w:r>
      <w:r w:rsidRPr="00835699">
        <w:t>sätestatakse, et kui taotleja kuulub kontse</w:t>
      </w:r>
      <w:r w:rsidR="00E622F3">
        <w:t>rni, siis peab taotleja esitama</w:t>
      </w:r>
      <w:r>
        <w:t xml:space="preserve"> </w:t>
      </w:r>
      <w:r w:rsidRPr="00835699">
        <w:t xml:space="preserve">taotluse esitamisele vahetult eelnenud </w:t>
      </w:r>
      <w:r w:rsidR="005C4A8B" w:rsidRPr="00D636BA">
        <w:rPr>
          <w:rFonts w:eastAsia="SimSun" w:cs="Mangal"/>
          <w:kern w:val="1"/>
          <w:lang w:eastAsia="zh-CN" w:bidi="hi-IN"/>
        </w:rPr>
        <w:t>kuni kolme majandusaasta</w:t>
      </w:r>
      <w:r w:rsidR="005C4A8B" w:rsidRPr="00D636BA" w:rsidDel="005C4A8B">
        <w:t xml:space="preserve"> </w:t>
      </w:r>
      <w:r w:rsidRPr="00D636BA">
        <w:t xml:space="preserve">kinnitatud konsolideeritud aruannete ärakirjad juhul, kui need ei ole kättesaadavad äriregistrist. </w:t>
      </w:r>
      <w:r w:rsidR="00474A83" w:rsidRPr="00D636BA">
        <w:t xml:space="preserve">Nimetatud aruannete ärakirjad esitatakse </w:t>
      </w:r>
      <w:r w:rsidR="002821C3" w:rsidRPr="00D636BA">
        <w:t xml:space="preserve">olenevalt sellest, mitu majandusaastat on tegutsetud, aga </w:t>
      </w:r>
      <w:r w:rsidR="00474A83" w:rsidRPr="00D636BA">
        <w:t>mitte rohkem kui</w:t>
      </w:r>
      <w:r w:rsidR="00474A83" w:rsidRPr="005E169D">
        <w:t xml:space="preserve"> kolme </w:t>
      </w:r>
      <w:r w:rsidR="0074074A">
        <w:t xml:space="preserve">järjestikuse </w:t>
      </w:r>
      <w:r w:rsidR="00474A83" w:rsidRPr="005E169D">
        <w:t>majandusaasta kohta.</w:t>
      </w:r>
      <w:r w:rsidR="00474A83">
        <w:t xml:space="preserve"> </w:t>
      </w:r>
      <w:r w:rsidR="00E622F3">
        <w:t xml:space="preserve">Muudatus, mille kohaselt kasutatakse edaspidi sõnu „taotluse esitamisele“, </w:t>
      </w:r>
      <w:r w:rsidR="00E622F3" w:rsidRPr="00E622F3">
        <w:t>tagab nendele ettevõtjatele, kelle majandusaasta ei ühti kalendriaastaga, toetuse taotl</w:t>
      </w:r>
      <w:r w:rsidR="00E622F3">
        <w:t>emise</w:t>
      </w:r>
      <w:r w:rsidR="00AD1DDB">
        <w:t xml:space="preserve">ks paindlikumad tingimused. </w:t>
      </w:r>
      <w:r w:rsidR="000C2DD8" w:rsidRPr="000C2DD8">
        <w:t xml:space="preserve">Täpsemalt on seletuskirjas </w:t>
      </w:r>
      <w:r w:rsidR="000C2DD8">
        <w:t>nimetatud muudatust selgitatud eelnõu punkti 1</w:t>
      </w:r>
      <w:r w:rsidR="000C2DD8" w:rsidRPr="000C2DD8">
        <w:t xml:space="preserve"> selgitava osa juures.</w:t>
      </w:r>
      <w:r w:rsidR="000C2DD8">
        <w:t xml:space="preserve"> </w:t>
      </w:r>
      <w:r w:rsidR="00AD1DDB">
        <w:t>M</w:t>
      </w:r>
      <w:r w:rsidR="00E622F3">
        <w:t>uudatus, mille kohaselt esitatakse eespool nimetatud</w:t>
      </w:r>
      <w:r w:rsidRPr="00835699">
        <w:t xml:space="preserve"> </w:t>
      </w:r>
      <w:r w:rsidR="00E622F3">
        <w:t xml:space="preserve">aruannete ärakirjad üksnes juhul, kui </w:t>
      </w:r>
      <w:r w:rsidR="00E622F3" w:rsidRPr="00E622F3">
        <w:t>need ei ole kättesaadavad äriregistrist</w:t>
      </w:r>
      <w:r w:rsidR="00E622F3">
        <w:t>, vähendab</w:t>
      </w:r>
      <w:r w:rsidRPr="00835699">
        <w:t xml:space="preserve"> dokumentide arv</w:t>
      </w:r>
      <w:r w:rsidR="00E622F3">
        <w:t>u</w:t>
      </w:r>
      <w:r w:rsidRPr="00835699">
        <w:t>, mis tuleb taotlejal koos avaldusega esitada.</w:t>
      </w:r>
    </w:p>
    <w:p w14:paraId="1ED05657" w14:textId="77777777" w:rsidR="00115C0F" w:rsidRPr="002A578D" w:rsidRDefault="00115C0F" w:rsidP="00A578C6"/>
    <w:p w14:paraId="7ED070B7" w14:textId="37742293" w:rsidR="008574CB" w:rsidRDefault="00115C0F" w:rsidP="004356F0">
      <w:pPr>
        <w:jc w:val="both"/>
      </w:pPr>
      <w:r>
        <w:rPr>
          <w:b/>
        </w:rPr>
        <w:t xml:space="preserve">Eelnõu punktis </w:t>
      </w:r>
      <w:r w:rsidR="00002AAF">
        <w:rPr>
          <w:b/>
        </w:rPr>
        <w:t>25</w:t>
      </w:r>
      <w:r w:rsidR="00487CC1" w:rsidRPr="002A578D">
        <w:rPr>
          <w:b/>
        </w:rPr>
        <w:t xml:space="preserve"> </w:t>
      </w:r>
      <w:r w:rsidR="00487CC1" w:rsidRPr="002A578D">
        <w:t xml:space="preserve">täpsustatakse </w:t>
      </w:r>
      <w:r w:rsidR="00D65892">
        <w:t xml:space="preserve">määruse </w:t>
      </w:r>
      <w:r w:rsidR="001B4A19">
        <w:t>§ 10 lõike 7 punkti 2</w:t>
      </w:r>
      <w:r w:rsidR="008574CB">
        <w:t xml:space="preserve"> </w:t>
      </w:r>
      <w:r w:rsidR="00487CC1" w:rsidRPr="002A578D">
        <w:t>sõnastus</w:t>
      </w:r>
      <w:r w:rsidR="008574CB">
        <w:t>t</w:t>
      </w:r>
      <w:r w:rsidR="00BF25B8">
        <w:t>,</w:t>
      </w:r>
      <w:r w:rsidR="000A1489" w:rsidRPr="002A578D">
        <w:t xml:space="preserve"> </w:t>
      </w:r>
      <w:r w:rsidR="008574CB">
        <w:t>sätestades, et</w:t>
      </w:r>
      <w:r w:rsidR="00BF25B8" w:rsidRPr="002A578D">
        <w:t xml:space="preserve"> </w:t>
      </w:r>
      <w:r w:rsidR="00245ACE" w:rsidRPr="002A578D">
        <w:t xml:space="preserve">edaspidi </w:t>
      </w:r>
      <w:r w:rsidR="008574CB">
        <w:t xml:space="preserve">peab </w:t>
      </w:r>
      <w:r w:rsidR="00245ACE" w:rsidRPr="002A578D">
        <w:t xml:space="preserve">taotleja esitama </w:t>
      </w:r>
      <w:r w:rsidR="00D4039C" w:rsidRPr="002A578D">
        <w:t xml:space="preserve">üüri- või rendilepingu </w:t>
      </w:r>
      <w:r w:rsidR="00D4039C">
        <w:t xml:space="preserve">ärakirja </w:t>
      </w:r>
      <w:r w:rsidR="00D4039C" w:rsidRPr="002A578D">
        <w:t xml:space="preserve">või kasutusvalduse lepingu </w:t>
      </w:r>
      <w:r w:rsidR="00245ACE" w:rsidRPr="002A578D">
        <w:t>ärakirja.</w:t>
      </w:r>
    </w:p>
    <w:p w14:paraId="465F02A0" w14:textId="1B156DC7" w:rsidR="001B4A19" w:rsidRDefault="001B4A19" w:rsidP="004356F0">
      <w:pPr>
        <w:jc w:val="both"/>
      </w:pPr>
    </w:p>
    <w:p w14:paraId="20213420" w14:textId="75F41A53" w:rsidR="001B4A19" w:rsidRPr="00943190" w:rsidRDefault="00943190" w:rsidP="00943190">
      <w:pPr>
        <w:jc w:val="both"/>
        <w:rPr>
          <w:b/>
        </w:rPr>
      </w:pPr>
      <w:r w:rsidRPr="00943190">
        <w:rPr>
          <w:b/>
        </w:rPr>
        <w:t>Eelnõu punkti</w:t>
      </w:r>
      <w:r w:rsidR="00505B1A">
        <w:rPr>
          <w:b/>
        </w:rPr>
        <w:t xml:space="preserve"> </w:t>
      </w:r>
      <w:r w:rsidR="00002AAF">
        <w:rPr>
          <w:b/>
        </w:rPr>
        <w:t>26</w:t>
      </w:r>
      <w:r w:rsidR="003A226B" w:rsidRPr="00943190">
        <w:rPr>
          <w:b/>
        </w:rPr>
        <w:t xml:space="preserve"> </w:t>
      </w:r>
      <w:r w:rsidRPr="00943190">
        <w:t>kohaselt ei pea taotleja tõendama investeeringuobjekti aluse maa omandikuuluvust</w:t>
      </w:r>
      <w:r w:rsidR="005C4A8B">
        <w:t xml:space="preserve"> –</w:t>
      </w:r>
      <w:r w:rsidRPr="00943190">
        <w:t xml:space="preserve"> PRIA kontrollib asjakohast õigust kinnistusraamatust. Kui taotleja kasutab maad hoonestusõiguse alusel, siis tuleb toetuse taotlemisel esitada </w:t>
      </w:r>
      <w:r w:rsidR="00D65892">
        <w:t>seda</w:t>
      </w:r>
      <w:r w:rsidRPr="00943190">
        <w:t xml:space="preserve"> õigust tõendava lepingu ärakiri. Nimetatud lepinguga koos tuleb PRIA-le esitada ka kõik lepingu lisad, sealhulgas asendiplaan.</w:t>
      </w:r>
    </w:p>
    <w:p w14:paraId="3491658E" w14:textId="2112C043" w:rsidR="003A226B" w:rsidRPr="00943190" w:rsidRDefault="003A226B" w:rsidP="004356F0">
      <w:pPr>
        <w:jc w:val="both"/>
        <w:rPr>
          <w:b/>
        </w:rPr>
      </w:pPr>
    </w:p>
    <w:p w14:paraId="6766884E" w14:textId="4E5A3831" w:rsidR="003A226B" w:rsidRPr="00B2026E" w:rsidRDefault="003A226B" w:rsidP="00B2026E">
      <w:pPr>
        <w:jc w:val="both"/>
        <w:rPr>
          <w:b/>
        </w:rPr>
      </w:pPr>
      <w:r w:rsidRPr="006B7572">
        <w:rPr>
          <w:b/>
        </w:rPr>
        <w:t xml:space="preserve">Eelnõu punktis </w:t>
      </w:r>
      <w:r w:rsidR="00002AAF" w:rsidRPr="006B7572">
        <w:rPr>
          <w:b/>
        </w:rPr>
        <w:t>27</w:t>
      </w:r>
      <w:r w:rsidR="00943190" w:rsidRPr="006B7572">
        <w:rPr>
          <w:b/>
        </w:rPr>
        <w:t xml:space="preserve"> </w:t>
      </w:r>
      <w:r w:rsidR="00B2026E" w:rsidRPr="006B7572">
        <w:t xml:space="preserve">täpsustatakse, </w:t>
      </w:r>
      <w:r w:rsidR="00C65C98" w:rsidRPr="006B7572">
        <w:t>et ehitise puhul</w:t>
      </w:r>
      <w:r w:rsidR="00A7009A" w:rsidRPr="006B7572">
        <w:t xml:space="preserve"> tu</w:t>
      </w:r>
      <w:r w:rsidR="0016600F" w:rsidRPr="006B7572">
        <w:t>leb esitada</w:t>
      </w:r>
      <w:r w:rsidR="00A7009A" w:rsidRPr="006B7572">
        <w:t xml:space="preserve"> vähemalt kolm investeeringuobjekti hinnapakkumust</w:t>
      </w:r>
      <w:r w:rsidR="0016600F" w:rsidRPr="006B7572">
        <w:t>. Nimetatud investeeringuobjekti hinnapakkumused esitatakse PRIA-le e-teenuse keskkonna kaudu</w:t>
      </w:r>
      <w:r w:rsidR="0016600F">
        <w:t xml:space="preserve">. </w:t>
      </w:r>
    </w:p>
    <w:p w14:paraId="7D26CFCD" w14:textId="77777777" w:rsidR="00586040" w:rsidRPr="002A578D" w:rsidRDefault="00586040" w:rsidP="004356F0">
      <w:pPr>
        <w:jc w:val="both"/>
      </w:pPr>
    </w:p>
    <w:p w14:paraId="54FEDD36" w14:textId="48D3C240" w:rsidR="00586040" w:rsidRDefault="00505B1A" w:rsidP="004356F0">
      <w:pPr>
        <w:jc w:val="both"/>
      </w:pPr>
      <w:r>
        <w:rPr>
          <w:b/>
        </w:rPr>
        <w:t>Eelnõu punktis 2</w:t>
      </w:r>
      <w:r w:rsidR="00002AAF">
        <w:rPr>
          <w:b/>
        </w:rPr>
        <w:t>8</w:t>
      </w:r>
      <w:r w:rsidR="0081357A" w:rsidRPr="002A578D">
        <w:rPr>
          <w:b/>
        </w:rPr>
        <w:t xml:space="preserve"> </w:t>
      </w:r>
      <w:r w:rsidR="0081357A" w:rsidRPr="002A578D">
        <w:t>tä</w:t>
      </w:r>
      <w:r w:rsidR="008574CB">
        <w:t>iendatakse määruse § 10 lõikega 1</w:t>
      </w:r>
      <w:r w:rsidR="003A226B">
        <w:t>1</w:t>
      </w:r>
      <w:r w:rsidR="008574CB">
        <w:t>, sätestades, et k</w:t>
      </w:r>
      <w:r w:rsidR="0081357A" w:rsidRPr="002A578D">
        <w:t xml:space="preserve">ui toetust taotletakse </w:t>
      </w:r>
      <w:r w:rsidR="003A226B">
        <w:t xml:space="preserve">ehitise ehitamiseks või </w:t>
      </w:r>
      <w:r w:rsidR="00D01B8C" w:rsidRPr="002A578D">
        <w:t>sellise seadme soetamiseks</w:t>
      </w:r>
      <w:r w:rsidR="0081357A" w:rsidRPr="002A578D">
        <w:t xml:space="preserve">, mille paigaldamiseks on vajalik ehitusseadustiku kohaselt ehitusluba või ehitusteatis, siis peab see olema kättesaadav ehitisregistrist. </w:t>
      </w:r>
      <w:r w:rsidR="00D33A32" w:rsidRPr="002A578D">
        <w:t>Nimetatud nõudega tagatakse, et investeeringuobjekti kasuta</w:t>
      </w:r>
      <w:r w:rsidR="00A4729C">
        <w:t>takse</w:t>
      </w:r>
      <w:r w:rsidR="00C56BB5" w:rsidRPr="002A578D">
        <w:t xml:space="preserve"> </w:t>
      </w:r>
      <w:r w:rsidR="003D3A8A">
        <w:t xml:space="preserve">sihtotstarbeliselt </w:t>
      </w:r>
      <w:r w:rsidR="002B1B3F" w:rsidRPr="002A578D">
        <w:t xml:space="preserve">vähemalt </w:t>
      </w:r>
      <w:r w:rsidR="00C56BB5" w:rsidRPr="002A578D">
        <w:t>sihipärase kasutamise perioodi lõpuni</w:t>
      </w:r>
      <w:r w:rsidR="00D33A32" w:rsidRPr="002A578D">
        <w:t>.</w:t>
      </w:r>
    </w:p>
    <w:p w14:paraId="6AE5BE21" w14:textId="77777777" w:rsidR="00107608" w:rsidRDefault="00107608" w:rsidP="004356F0">
      <w:pPr>
        <w:jc w:val="both"/>
      </w:pPr>
    </w:p>
    <w:p w14:paraId="0ABBF0ED" w14:textId="130CBA1A" w:rsidR="00107608" w:rsidRPr="002A578D" w:rsidRDefault="00107608" w:rsidP="00107608">
      <w:pPr>
        <w:jc w:val="both"/>
      </w:pPr>
      <w:r w:rsidRPr="00107608">
        <w:rPr>
          <w:b/>
        </w:rPr>
        <w:t>Eelnõu punkt</w:t>
      </w:r>
      <w:r w:rsidR="00EA6693">
        <w:rPr>
          <w:b/>
        </w:rPr>
        <w:t>is</w:t>
      </w:r>
      <w:r w:rsidR="003A226B">
        <w:rPr>
          <w:b/>
        </w:rPr>
        <w:t xml:space="preserve"> </w:t>
      </w:r>
      <w:r w:rsidR="00941A9A">
        <w:rPr>
          <w:b/>
        </w:rPr>
        <w:t>2</w:t>
      </w:r>
      <w:r w:rsidR="00002AAF">
        <w:rPr>
          <w:b/>
        </w:rPr>
        <w:t>9</w:t>
      </w:r>
      <w:r>
        <w:t xml:space="preserve"> sätesta</w:t>
      </w:r>
      <w:r w:rsidR="00EA6693">
        <w:t>takse</w:t>
      </w:r>
      <w:r>
        <w:t xml:space="preserve"> taotluste menetlemise ajaperiood. Muudatus näeb ette, et PRIA peab menetlema taotlusi ja </w:t>
      </w:r>
      <w:r w:rsidR="00E64FE2">
        <w:t xml:space="preserve">tegema taotluse </w:t>
      </w:r>
      <w:r>
        <w:t xml:space="preserve">rahuldamise või rahuldamata jätmise </w:t>
      </w:r>
      <w:r w:rsidR="00E64FE2">
        <w:t>otsuse</w:t>
      </w:r>
      <w:r w:rsidR="00941A9A" w:rsidRPr="00941A9A">
        <w:t xml:space="preserve"> </w:t>
      </w:r>
      <w:r w:rsidR="00941A9A">
        <w:t>senisest lühema aja jooksul</w:t>
      </w:r>
      <w:r w:rsidR="00E64FE2">
        <w:t xml:space="preserve">. Määruse § </w:t>
      </w:r>
      <w:r>
        <w:t>1</w:t>
      </w:r>
      <w:r w:rsidR="00E64FE2">
        <w:t>4 lõike 7 kohaselt o</w:t>
      </w:r>
      <w:r w:rsidR="00ED2003">
        <w:t>n</w:t>
      </w:r>
      <w:r>
        <w:t xml:space="preserve"> taotluste menetlemiseks ette</w:t>
      </w:r>
      <w:r w:rsidR="00EA6693">
        <w:t xml:space="preserve"> </w:t>
      </w:r>
      <w:r>
        <w:t>nähtud kuni 100 tööpäeva. Muudatuse kohas</w:t>
      </w:r>
      <w:r w:rsidR="00E64FE2">
        <w:t>elt lühendatakse seda perioodi 2</w:t>
      </w:r>
      <w:r>
        <w:t xml:space="preserve">0% võrra ning sätestatakse, et PRIA teeb taotluse osalise või täieliku rahuldamise otsuse või taotluse </w:t>
      </w:r>
      <w:r w:rsidR="00E64FE2">
        <w:t>rahuldamata jätmise otsuse 8</w:t>
      </w:r>
      <w:r>
        <w:t xml:space="preserve">0 tööpäeva jooksul arvates taotluse esitamise tähtpäevast. Sellisel määral taotluste menetlemise aja </w:t>
      </w:r>
      <w:r w:rsidR="00FE1925">
        <w:t>lühe</w:t>
      </w:r>
      <w:r>
        <w:t xml:space="preserve">ndamine on võimalik tänu PRIA e-teenuse keskkonna kasutusele võtmisele. Selline muudatus tagab ettevõtjatele senisest paremad </w:t>
      </w:r>
      <w:r w:rsidR="004C50A2">
        <w:t xml:space="preserve">toetuse taotlemise </w:t>
      </w:r>
      <w:r>
        <w:t>tingimused.</w:t>
      </w:r>
    </w:p>
    <w:p w14:paraId="507956A1" w14:textId="12888BEB" w:rsidR="000944F7" w:rsidRPr="00F3268D" w:rsidRDefault="000944F7" w:rsidP="004356F0">
      <w:pPr>
        <w:jc w:val="both"/>
      </w:pPr>
    </w:p>
    <w:p w14:paraId="1B6C7324" w14:textId="487AD498" w:rsidR="003A226B" w:rsidRPr="00F3268D" w:rsidRDefault="00943190" w:rsidP="00F3268D">
      <w:pPr>
        <w:jc w:val="both"/>
        <w:rPr>
          <w:b/>
        </w:rPr>
      </w:pPr>
      <w:r w:rsidRPr="00F3268D">
        <w:rPr>
          <w:b/>
        </w:rPr>
        <w:t>Eelnõu punkti</w:t>
      </w:r>
      <w:r w:rsidR="00F3268D" w:rsidRPr="00F3268D">
        <w:rPr>
          <w:b/>
        </w:rPr>
        <w:t>s</w:t>
      </w:r>
      <w:r w:rsidR="00505B1A">
        <w:rPr>
          <w:b/>
        </w:rPr>
        <w:t xml:space="preserve"> </w:t>
      </w:r>
      <w:r w:rsidR="00002AAF">
        <w:rPr>
          <w:b/>
        </w:rPr>
        <w:t>31</w:t>
      </w:r>
      <w:r w:rsidR="003A226B" w:rsidRPr="00F3268D">
        <w:rPr>
          <w:b/>
        </w:rPr>
        <w:t xml:space="preserve"> </w:t>
      </w:r>
      <w:r w:rsidR="00F3268D" w:rsidRPr="00F3268D">
        <w:t>täiendatakse loetelu selle kohta</w:t>
      </w:r>
      <w:r w:rsidR="00ED2003">
        <w:t>,</w:t>
      </w:r>
      <w:r w:rsidR="00F3268D" w:rsidRPr="00F3268D">
        <w:t xml:space="preserve"> milliseid kohustusi peab toetuse saaja täitma investeeringuobjekti sihipärase kasutamise perioodi lõpuni. Lisaks </w:t>
      </w:r>
      <w:r w:rsidR="00ED2003">
        <w:t xml:space="preserve">määruse </w:t>
      </w:r>
      <w:r w:rsidR="00F3268D" w:rsidRPr="00F3268D">
        <w:t>§</w:t>
      </w:r>
      <w:r w:rsidR="00ED2003">
        <w:t>-s</w:t>
      </w:r>
      <w:r w:rsidR="00F3268D" w:rsidRPr="00F3268D">
        <w:t xml:space="preserve"> 15</w:t>
      </w:r>
      <w:r w:rsidR="00F3268D" w:rsidRPr="00F3268D">
        <w:rPr>
          <w:vertAlign w:val="superscript"/>
        </w:rPr>
        <w:t>1</w:t>
      </w:r>
      <w:r w:rsidR="00F3268D" w:rsidRPr="00F3268D">
        <w:t xml:space="preserve"> loetletud kohustustele on toetuse saaja kohustatud </w:t>
      </w:r>
      <w:r w:rsidR="00ED2003" w:rsidRPr="00F3268D">
        <w:t xml:space="preserve">teavitama </w:t>
      </w:r>
      <w:r w:rsidR="00DE2995" w:rsidRPr="00F3268D">
        <w:t xml:space="preserve">PRIA-t </w:t>
      </w:r>
      <w:r w:rsidR="00F3268D" w:rsidRPr="00F3268D">
        <w:t>taotluses esitatud või toetatava tegevusega seotud andmete muutumisest. Samuti peab toetuse saaja viivitamata teavitama PRIA</w:t>
      </w:r>
      <w:r w:rsidR="00891F02">
        <w:noBreakHyphen/>
      </w:r>
      <w:r w:rsidR="00F3268D" w:rsidRPr="00F3268D">
        <w:t>t asjaoludest, mis takistavad tegevuse elluviimist. Nimetatud kohustuse sätestamisega tagatakse, et toetusraha kasutatakse sihipäraselt ja investeeringuobjekti kasutatakse sihtotstarbeliselt vähemalt sihipärase kasutamise perioodi lõpuni. ELÜPS-i § 111 lõikes 1 on sätestatud, et kui pärast toetuse väljamaksmist selgub, et toetusraha on eeskirja eiramise või hooletuse tõttu makstud alusetult, sealhulgas juhul, kui seda ei ole kasutatud sihipäraselt, nõutakse toetusraha toetuse saajalt, sealhulgas valikumenetluse korras valitud toetuse saajalt, otseselt või täielikult tagasi.</w:t>
      </w:r>
    </w:p>
    <w:p w14:paraId="68ADECB4" w14:textId="77777777" w:rsidR="00820CCF" w:rsidRPr="005B1631" w:rsidRDefault="00820CCF" w:rsidP="00820CCF">
      <w:pPr>
        <w:jc w:val="both"/>
      </w:pPr>
    </w:p>
    <w:p w14:paraId="2E9E52B1" w14:textId="46154D79" w:rsidR="00820CCF" w:rsidRPr="00284E3A" w:rsidRDefault="005B1631" w:rsidP="00284E3A">
      <w:pPr>
        <w:jc w:val="both"/>
      </w:pPr>
      <w:r w:rsidRPr="009543DE">
        <w:rPr>
          <w:b/>
        </w:rPr>
        <w:t>Eelnõu punktiga</w:t>
      </w:r>
      <w:r w:rsidR="00820CCF" w:rsidRPr="009543DE">
        <w:rPr>
          <w:b/>
        </w:rPr>
        <w:t xml:space="preserve"> 32</w:t>
      </w:r>
      <w:r w:rsidR="00820CCF" w:rsidRPr="009543DE">
        <w:t xml:space="preserve"> </w:t>
      </w:r>
      <w:r w:rsidRPr="009543DE">
        <w:t>muudetakse investeeringu elluviimist tõendavate dokumentide esitamise maksimaalset tähtaega</w:t>
      </w:r>
      <w:r w:rsidR="009543DE">
        <w:t>, k</w:t>
      </w:r>
      <w:r>
        <w:t xml:space="preserve">ui </w:t>
      </w:r>
      <w:r w:rsidRPr="005B1631">
        <w:t>investeeringuobjekt ostetakse liisingulepingu</w:t>
      </w:r>
      <w:r>
        <w:t xml:space="preserve"> alusel. </w:t>
      </w:r>
      <w:r w:rsidR="00284E3A" w:rsidRPr="00284E3A">
        <w:t>Tagamaks, et PRIA jõuaks programmiperioodi lõppu jäävaid väljamakseid teha enne 2023. aasta 31. detsembrit, ja võimaldamaks PRIA</w:t>
      </w:r>
      <w:r w:rsidR="005025CA">
        <w:t>-</w:t>
      </w:r>
      <w:r w:rsidR="00284E3A" w:rsidRPr="00284E3A">
        <w:t>le ka kuludokumentide menetlemiseks mõistlik aeg, siis tuuakse nii abikõlblikkust tõendavate kuludokumentide esitamise kui ka omandiõiguse ülemineku tähtaeg varasemaks.</w:t>
      </w:r>
      <w:r w:rsidR="00284E3A">
        <w:t xml:space="preserve"> See tähendab, et </w:t>
      </w:r>
      <w:r w:rsidR="00284E3A" w:rsidRPr="00284E3A">
        <w:t>kulu abikõlblikkust tõendavad dokumendid</w:t>
      </w:r>
      <w:r w:rsidR="00284E3A">
        <w:t xml:space="preserve"> peavad</w:t>
      </w:r>
      <w:r w:rsidR="00284E3A" w:rsidRPr="00284E3A">
        <w:t xml:space="preserve"> olema PRIA</w:t>
      </w:r>
      <w:r w:rsidR="00526080">
        <w:t>-</w:t>
      </w:r>
      <w:r w:rsidR="00284E3A" w:rsidRPr="00284E3A">
        <w:t>le esitatud hiljemalt 30. juunil 2023.</w:t>
      </w:r>
      <w:r w:rsidR="00284E3A">
        <w:t xml:space="preserve"> Täpsemalt on seletuskirjas </w:t>
      </w:r>
      <w:r w:rsidR="00284E3A" w:rsidRPr="00284E3A">
        <w:t>liisingumaksete abikõlblikkuse t</w:t>
      </w:r>
      <w:r w:rsidR="00284E3A">
        <w:t>ähtaja muutmist selgitatud eelnõu punkti 10 selgitava osa juures.</w:t>
      </w:r>
    </w:p>
    <w:p w14:paraId="781D994F" w14:textId="77777777" w:rsidR="003A226B" w:rsidRPr="002A578D" w:rsidRDefault="003A226B" w:rsidP="004356F0">
      <w:pPr>
        <w:jc w:val="both"/>
      </w:pPr>
    </w:p>
    <w:p w14:paraId="59FD3B8C" w14:textId="5FF3251E" w:rsidR="000944F7" w:rsidRPr="002A578D" w:rsidRDefault="00197F20" w:rsidP="004356F0">
      <w:pPr>
        <w:jc w:val="both"/>
      </w:pPr>
      <w:r w:rsidRPr="001B428C">
        <w:rPr>
          <w:b/>
        </w:rPr>
        <w:t>E</w:t>
      </w:r>
      <w:r w:rsidR="00505B1A">
        <w:rPr>
          <w:b/>
        </w:rPr>
        <w:t xml:space="preserve">elnõu punktis </w:t>
      </w:r>
      <w:r w:rsidR="00820CCF">
        <w:rPr>
          <w:b/>
        </w:rPr>
        <w:t>33</w:t>
      </w:r>
      <w:r w:rsidR="007C793E" w:rsidRPr="002A578D">
        <w:rPr>
          <w:b/>
        </w:rPr>
        <w:t xml:space="preserve"> </w:t>
      </w:r>
      <w:r w:rsidR="001F29A1" w:rsidRPr="002A578D">
        <w:t xml:space="preserve">sätestatakse, et toetuse saaja peab kinnitama, et </w:t>
      </w:r>
      <w:r w:rsidR="007E31F0" w:rsidRPr="002A578D">
        <w:t xml:space="preserve">kahe aasta jooksul </w:t>
      </w:r>
      <w:r w:rsidR="007E31F0">
        <w:t>arvates</w:t>
      </w:r>
      <w:r w:rsidR="007E31F0" w:rsidRPr="002A578D">
        <w:t xml:space="preserve"> </w:t>
      </w:r>
      <w:r w:rsidR="0017625F">
        <w:t xml:space="preserve">PRIA poolt </w:t>
      </w:r>
      <w:r w:rsidR="007E31F0" w:rsidRPr="002A578D">
        <w:t>viimase toetusosa väljamaksmis</w:t>
      </w:r>
      <w:r w:rsidR="007E31F0">
        <w:t>es</w:t>
      </w:r>
      <w:r w:rsidR="007E31F0" w:rsidRPr="002A578D">
        <w:t xml:space="preserve">t </w:t>
      </w:r>
      <w:r w:rsidR="00A320A7" w:rsidRPr="002A578D">
        <w:t xml:space="preserve">ei toimu </w:t>
      </w:r>
      <w:r w:rsidR="0017625F" w:rsidRPr="0017625F">
        <w:t>sama või sarnas</w:t>
      </w:r>
      <w:r w:rsidR="00EA6693">
        <w:t>e</w:t>
      </w:r>
      <w:r w:rsidR="0017625F" w:rsidRPr="0017625F">
        <w:t xml:space="preserve"> tegevus</w:t>
      </w:r>
      <w:r w:rsidR="00EA6693">
        <w:t>e</w:t>
      </w:r>
      <w:r w:rsidR="0017625F" w:rsidRPr="0017625F">
        <w:t xml:space="preserve"> või selle osa </w:t>
      </w:r>
      <w:r w:rsidR="007E31F0">
        <w:t>ümberpaigutamist</w:t>
      </w:r>
      <w:r w:rsidR="0017625F">
        <w:t xml:space="preserve"> sellest ettevõttest</w:t>
      </w:r>
      <w:r w:rsidR="00A320A7" w:rsidRPr="002A578D">
        <w:t xml:space="preserve">, kuhu toetuse abil </w:t>
      </w:r>
      <w:r w:rsidR="00075B6D" w:rsidRPr="002A578D">
        <w:t>on tehtud investeering</w:t>
      </w:r>
      <w:r w:rsidR="00E44F7C" w:rsidRPr="002A578D">
        <w:t xml:space="preserve">. </w:t>
      </w:r>
      <w:r w:rsidR="00F75CEB" w:rsidRPr="002A578D">
        <w:t xml:space="preserve">See tähendab, et toetuse saaja võtab kohustuse, et </w:t>
      </w:r>
      <w:r w:rsidR="00F44E43" w:rsidRPr="002A578D">
        <w:t xml:space="preserve">selle </w:t>
      </w:r>
      <w:r w:rsidR="00F75CEB" w:rsidRPr="002A578D">
        <w:t>ettevõtte sama või sarnas</w:t>
      </w:r>
      <w:r w:rsidR="007E31F0">
        <w:t>t</w:t>
      </w:r>
      <w:r w:rsidR="00F75CEB" w:rsidRPr="002A578D">
        <w:t xml:space="preserve"> tegevust või selle osa ei viida üle teise ettevõttesse. </w:t>
      </w:r>
      <w:r w:rsidR="00E44F7C" w:rsidRPr="002A578D">
        <w:t xml:space="preserve">Täpsemalt on </w:t>
      </w:r>
      <w:r w:rsidR="00C1510E">
        <w:t xml:space="preserve">seletuskirjas </w:t>
      </w:r>
      <w:r w:rsidR="00E44F7C" w:rsidRPr="002A578D">
        <w:t>ümberpaigutamise tingimus</w:t>
      </w:r>
      <w:r w:rsidR="00AB78E4" w:rsidRPr="002A578D">
        <w:t>i</w:t>
      </w:r>
      <w:r w:rsidR="00E44F7C" w:rsidRPr="002A578D">
        <w:t xml:space="preserve"> </w:t>
      </w:r>
      <w:r w:rsidR="00C1510E" w:rsidRPr="002A578D">
        <w:t xml:space="preserve">selgitatud </w:t>
      </w:r>
      <w:r w:rsidR="00C1510E">
        <w:t xml:space="preserve">eelnõu </w:t>
      </w:r>
      <w:r w:rsidR="00E44F7C" w:rsidRPr="002A578D">
        <w:t xml:space="preserve">punkti </w:t>
      </w:r>
      <w:r w:rsidR="00820CCF">
        <w:t>20</w:t>
      </w:r>
      <w:r w:rsidR="00C1510E">
        <w:t xml:space="preserve"> selgitava osa juures</w:t>
      </w:r>
      <w:r w:rsidR="00E44F7C" w:rsidRPr="002A578D">
        <w:t>.</w:t>
      </w:r>
    </w:p>
    <w:p w14:paraId="62E25AA0" w14:textId="236E7753" w:rsidR="003B53BD" w:rsidRDefault="003B53BD" w:rsidP="004356F0">
      <w:pPr>
        <w:jc w:val="both"/>
      </w:pPr>
    </w:p>
    <w:p w14:paraId="20BB9421" w14:textId="2C9E3B4F" w:rsidR="00385572" w:rsidRDefault="00D01B8C" w:rsidP="004356F0">
      <w:pPr>
        <w:jc w:val="both"/>
      </w:pPr>
      <w:r w:rsidRPr="002A578D">
        <w:rPr>
          <w:b/>
        </w:rPr>
        <w:t>Eelnõu pun</w:t>
      </w:r>
      <w:r w:rsidR="00197F20" w:rsidRPr="002A578D">
        <w:rPr>
          <w:b/>
        </w:rPr>
        <w:t>ktide</w:t>
      </w:r>
      <w:r w:rsidR="00FF3132" w:rsidRPr="002A578D">
        <w:rPr>
          <w:b/>
        </w:rPr>
        <w:t>ga</w:t>
      </w:r>
      <w:r w:rsidR="00505B1A">
        <w:rPr>
          <w:b/>
        </w:rPr>
        <w:t xml:space="preserve"> </w:t>
      </w:r>
      <w:r w:rsidR="00820CCF">
        <w:rPr>
          <w:b/>
        </w:rPr>
        <w:t>34</w:t>
      </w:r>
      <w:r w:rsidR="009A4399">
        <w:rPr>
          <w:b/>
        </w:rPr>
        <w:t xml:space="preserve"> ja </w:t>
      </w:r>
      <w:r w:rsidR="00941A9A">
        <w:rPr>
          <w:b/>
        </w:rPr>
        <w:t>3</w:t>
      </w:r>
      <w:r w:rsidR="00820CCF">
        <w:rPr>
          <w:b/>
        </w:rPr>
        <w:t>9</w:t>
      </w:r>
      <w:r w:rsidR="00744455" w:rsidRPr="002A578D">
        <w:t xml:space="preserve"> </w:t>
      </w:r>
      <w:r w:rsidR="00FF3132" w:rsidRPr="002A578D">
        <w:t xml:space="preserve">muudetakse </w:t>
      </w:r>
      <w:r w:rsidR="00385572" w:rsidRPr="002A578D">
        <w:t>investeeringu tegemist tõendavate dok</w:t>
      </w:r>
      <w:r w:rsidR="00BD106C" w:rsidRPr="002A578D">
        <w:t>umentide esitamise (määruse § 16</w:t>
      </w:r>
      <w:r w:rsidR="00385572" w:rsidRPr="002A578D">
        <w:t>) ning enne kulutuste tegemist toetuse väl</w:t>
      </w:r>
      <w:r w:rsidR="00BD106C" w:rsidRPr="002A578D">
        <w:t>jamaksmise sätteid (määruse §</w:t>
      </w:r>
      <w:r w:rsidR="00EA6693">
        <w:t> </w:t>
      </w:r>
      <w:r w:rsidR="00BD106C" w:rsidRPr="002A578D">
        <w:t>18</w:t>
      </w:r>
      <w:r w:rsidR="00385572" w:rsidRPr="002A578D">
        <w:t xml:space="preserve">). Muudatused </w:t>
      </w:r>
      <w:r w:rsidR="009A4399" w:rsidRPr="009A4399">
        <w:t>on seotud elektroonsele taotlemisele ülemineku</w:t>
      </w:r>
      <w:r w:rsidR="00B56264">
        <w:t>ga</w:t>
      </w:r>
      <w:r w:rsidR="0088561C">
        <w:t xml:space="preserve"> – edaspidi</w:t>
      </w:r>
      <w:r w:rsidR="009A4399">
        <w:t xml:space="preserve"> toimub </w:t>
      </w:r>
      <w:r w:rsidR="00385572" w:rsidRPr="002A578D">
        <w:t>investeeringu tegemist tõendavate dokumentide esitamine vaid nimetatud veebikeskkonna kaudu</w:t>
      </w:r>
      <w:r w:rsidR="00BD106C" w:rsidRPr="002A578D">
        <w:t>.</w:t>
      </w:r>
    </w:p>
    <w:p w14:paraId="0325E85B" w14:textId="4F5A1334" w:rsidR="003A226B" w:rsidRDefault="003A226B" w:rsidP="004356F0">
      <w:pPr>
        <w:jc w:val="both"/>
      </w:pPr>
    </w:p>
    <w:p w14:paraId="4D9F8AD4" w14:textId="344CB62E" w:rsidR="003A226B" w:rsidRPr="00BE1FDC" w:rsidRDefault="00505B1A" w:rsidP="00BE1FDC">
      <w:pPr>
        <w:jc w:val="both"/>
      </w:pPr>
      <w:r>
        <w:rPr>
          <w:b/>
        </w:rPr>
        <w:t xml:space="preserve">Eelnõu punktis </w:t>
      </w:r>
      <w:r w:rsidR="00820CCF">
        <w:rPr>
          <w:b/>
        </w:rPr>
        <w:t>35</w:t>
      </w:r>
      <w:r w:rsidR="003A226B" w:rsidRPr="00BE1FDC">
        <w:rPr>
          <w:b/>
        </w:rPr>
        <w:t xml:space="preserve"> </w:t>
      </w:r>
      <w:r w:rsidR="00BE1FDC" w:rsidRPr="00BE1FDC">
        <w:t xml:space="preserve">kehtestatakse </w:t>
      </w:r>
      <w:r w:rsidR="00ED2003">
        <w:t xml:space="preserve">määruse </w:t>
      </w:r>
      <w:r w:rsidR="00BE1FDC" w:rsidRPr="00BE1FDC">
        <w:t>§ 16 lõike 1 punkt 4 uues sõnastuses</w:t>
      </w:r>
      <w:r w:rsidR="00ED2003">
        <w:t>,</w:t>
      </w:r>
      <w:r w:rsidR="00BE1FDC" w:rsidRPr="00BE1FDC">
        <w:t xml:space="preserve"> sätesta</w:t>
      </w:r>
      <w:r w:rsidR="00ED2003">
        <w:t>des</w:t>
      </w:r>
      <w:r w:rsidR="00BE1FDC" w:rsidRPr="00BE1FDC">
        <w:t>,</w:t>
      </w:r>
      <w:r w:rsidR="00BE1FDC">
        <w:t xml:space="preserve"> </w:t>
      </w:r>
      <w:r w:rsidR="00BE1FDC" w:rsidRPr="00BE1FDC">
        <w:t>et taotleja peab esitama ehitustegevuse kuluaruande iga ehitise kohta. Ehitustegevuse</w:t>
      </w:r>
      <w:r w:rsidR="00BE1FDC">
        <w:t xml:space="preserve"> </w:t>
      </w:r>
      <w:r w:rsidR="00BE1FDC" w:rsidRPr="00BE1FDC">
        <w:t>kuluaruanne on üheks investeeringu tegemist tõendavaks dokumendiks.</w:t>
      </w:r>
    </w:p>
    <w:p w14:paraId="572E6DF5" w14:textId="3E5408EA" w:rsidR="00586040" w:rsidRDefault="00586040" w:rsidP="004356F0">
      <w:pPr>
        <w:jc w:val="both"/>
      </w:pPr>
    </w:p>
    <w:p w14:paraId="38E6BD7E" w14:textId="4B25A37F" w:rsidR="0017625F" w:rsidRDefault="003A226B" w:rsidP="004356F0">
      <w:pPr>
        <w:jc w:val="both"/>
      </w:pPr>
      <w:r>
        <w:rPr>
          <w:b/>
        </w:rPr>
        <w:t xml:space="preserve">Eelnõu punktis </w:t>
      </w:r>
      <w:r w:rsidR="00941A9A">
        <w:rPr>
          <w:b/>
        </w:rPr>
        <w:t>3</w:t>
      </w:r>
      <w:r w:rsidR="00820CCF">
        <w:rPr>
          <w:b/>
        </w:rPr>
        <w:t>6</w:t>
      </w:r>
      <w:r w:rsidR="0017625F">
        <w:t xml:space="preserve"> täpsustatakse määruse § 16 lõike 3 punkti 1 sõnastust, sätestades, et edaspidi peab taotleja esitama liisingulepingu ärakirja ja liisingueseme üleandmise </w:t>
      </w:r>
      <w:r w:rsidR="001E133F">
        <w:t>akti</w:t>
      </w:r>
      <w:r w:rsidR="00EA6693">
        <w:t xml:space="preserve"> ärakirja</w:t>
      </w:r>
      <w:r w:rsidR="001E133F">
        <w:t>.</w:t>
      </w:r>
    </w:p>
    <w:p w14:paraId="7DE64D30" w14:textId="20889763" w:rsidR="003A226B" w:rsidRPr="00F3268D" w:rsidRDefault="003A226B" w:rsidP="004356F0">
      <w:pPr>
        <w:jc w:val="both"/>
      </w:pPr>
    </w:p>
    <w:p w14:paraId="33247779" w14:textId="39CD8557" w:rsidR="003A226B" w:rsidRDefault="00505B1A" w:rsidP="004356F0">
      <w:pPr>
        <w:jc w:val="both"/>
      </w:pPr>
      <w:r>
        <w:rPr>
          <w:b/>
        </w:rPr>
        <w:t xml:space="preserve">Eelnõu punktis </w:t>
      </w:r>
      <w:r w:rsidR="00820CCF">
        <w:rPr>
          <w:b/>
        </w:rPr>
        <w:t>37</w:t>
      </w:r>
      <w:r w:rsidR="003A226B" w:rsidRPr="00F3268D">
        <w:rPr>
          <w:b/>
        </w:rPr>
        <w:t xml:space="preserve"> </w:t>
      </w:r>
      <w:r w:rsidR="00F3268D" w:rsidRPr="00F3268D">
        <w:t>täpsustatakse viidet.</w:t>
      </w:r>
    </w:p>
    <w:p w14:paraId="617A0030" w14:textId="4AED8C7D" w:rsidR="00791F9A" w:rsidRDefault="00791F9A" w:rsidP="004356F0">
      <w:pPr>
        <w:jc w:val="both"/>
      </w:pPr>
    </w:p>
    <w:p w14:paraId="16336E41" w14:textId="46F56D80" w:rsidR="00791F9A" w:rsidRPr="00BB5FEA" w:rsidRDefault="00791F9A" w:rsidP="00BB5FEA">
      <w:pPr>
        <w:jc w:val="both"/>
      </w:pPr>
      <w:r w:rsidRPr="00BB5FEA">
        <w:rPr>
          <w:b/>
        </w:rPr>
        <w:t xml:space="preserve">Eelnõu punkti </w:t>
      </w:r>
      <w:r w:rsidR="00C43A64">
        <w:rPr>
          <w:b/>
        </w:rPr>
        <w:t>3</w:t>
      </w:r>
      <w:r w:rsidR="00820CCF">
        <w:rPr>
          <w:b/>
        </w:rPr>
        <w:t>8</w:t>
      </w:r>
      <w:r>
        <w:t xml:space="preserve"> kohasel</w:t>
      </w:r>
      <w:r w:rsidR="00751BFB">
        <w:t>t</w:t>
      </w:r>
      <w:r>
        <w:t xml:space="preserve"> koostab PRIA ehitustegevuse kuluaruande vormi</w:t>
      </w:r>
      <w:r w:rsidR="00751BFB">
        <w:t xml:space="preserve"> ja avaldab selle oma veebilehel</w:t>
      </w:r>
      <w:r>
        <w:t>.</w:t>
      </w:r>
      <w:r w:rsidR="00916BB5" w:rsidRPr="00916BB5">
        <w:t xml:space="preserve"> </w:t>
      </w:r>
      <w:r w:rsidR="00916BB5">
        <w:t xml:space="preserve">Edaspidi esitab toetuse saaja </w:t>
      </w:r>
      <w:r w:rsidR="00916BB5" w:rsidRPr="00916BB5">
        <w:t>täidetud ehitusteg</w:t>
      </w:r>
      <w:r w:rsidR="00916BB5">
        <w:t xml:space="preserve">evuse kuluaruande vormi PRIA-le </w:t>
      </w:r>
      <w:r w:rsidR="00A676A9">
        <w:t xml:space="preserve">PRIA </w:t>
      </w:r>
      <w:r w:rsidR="00916BB5" w:rsidRPr="00916BB5">
        <w:t>e</w:t>
      </w:r>
      <w:r w:rsidR="00916BB5">
        <w:noBreakHyphen/>
      </w:r>
      <w:r w:rsidR="00916BB5" w:rsidRPr="00916BB5">
        <w:t>teenuse keskkonna kaudu.</w:t>
      </w:r>
    </w:p>
    <w:p w14:paraId="7F8D4C85" w14:textId="16F6169E" w:rsidR="003A226B" w:rsidRPr="00F3268D" w:rsidRDefault="003A226B" w:rsidP="004356F0">
      <w:pPr>
        <w:jc w:val="both"/>
        <w:rPr>
          <w:b/>
        </w:rPr>
      </w:pPr>
    </w:p>
    <w:p w14:paraId="742221CE" w14:textId="6C29C19F" w:rsidR="00BE1FDC" w:rsidRDefault="003A226B" w:rsidP="00BE1FDC">
      <w:pPr>
        <w:jc w:val="both"/>
      </w:pPr>
      <w:r w:rsidRPr="00F3268D">
        <w:rPr>
          <w:b/>
        </w:rPr>
        <w:t xml:space="preserve">Eelnõu </w:t>
      </w:r>
      <w:r w:rsidR="00505B1A">
        <w:rPr>
          <w:b/>
        </w:rPr>
        <w:t>punkti</w:t>
      </w:r>
      <w:r w:rsidR="00E37C3B">
        <w:rPr>
          <w:b/>
        </w:rPr>
        <w:t>ga</w:t>
      </w:r>
      <w:r w:rsidR="00505B1A">
        <w:rPr>
          <w:b/>
        </w:rPr>
        <w:t xml:space="preserve"> </w:t>
      </w:r>
      <w:r w:rsidR="00820CCF">
        <w:rPr>
          <w:b/>
        </w:rPr>
        <w:t>41</w:t>
      </w:r>
      <w:r w:rsidR="00BE1FDC" w:rsidRPr="00BE1FDC">
        <w:rPr>
          <w:b/>
        </w:rPr>
        <w:t xml:space="preserve"> </w:t>
      </w:r>
      <w:r w:rsidR="00BE1FDC">
        <w:t xml:space="preserve">täiendatakse </w:t>
      </w:r>
      <w:r w:rsidR="00F01BF0">
        <w:t>§-i</w:t>
      </w:r>
      <w:r w:rsidR="00E37C3B">
        <w:t xml:space="preserve"> 20</w:t>
      </w:r>
      <w:r w:rsidR="00891F02">
        <w:t xml:space="preserve"> </w:t>
      </w:r>
      <w:r w:rsidR="00BE1FDC">
        <w:t>lõikega 2</w:t>
      </w:r>
      <w:r w:rsidR="00BE1FDC" w:rsidRPr="00BE1FDC">
        <w:t>. Alates 2017. aastast</w:t>
      </w:r>
      <w:r w:rsidR="00BE1FDC">
        <w:t xml:space="preserve"> </w:t>
      </w:r>
      <w:r w:rsidR="00BE1FDC" w:rsidRPr="00BE1FDC">
        <w:t>välistatakse toetuse andmine Harju, Rapla ja Pärnu maakonnas algatatud</w:t>
      </w:r>
      <w:r w:rsidR="00BE1FDC">
        <w:t xml:space="preserve"> </w:t>
      </w:r>
      <w:r w:rsidR="00BE1FDC" w:rsidRPr="00BE1FDC">
        <w:t>maakonnaplaneeringu kohaselt määratava Rail Balticu raudteetrassi koridori jääval maal</w:t>
      </w:r>
      <w:r w:rsidR="00891F02">
        <w:t xml:space="preserve"> sellise</w:t>
      </w:r>
      <w:r w:rsidR="00BE1FDC">
        <w:t xml:space="preserve"> </w:t>
      </w:r>
      <w:r w:rsidR="00BE1FDC" w:rsidRPr="00BE1FDC">
        <w:t>tegevuse elluviimiseks, mille raames ehitatakse ehitis või tehakse muu investeering.</w:t>
      </w:r>
    </w:p>
    <w:p w14:paraId="62460A0A" w14:textId="77777777" w:rsidR="00BE1FDC" w:rsidRDefault="00BE1FDC" w:rsidP="00BE1FDC">
      <w:pPr>
        <w:jc w:val="both"/>
      </w:pPr>
    </w:p>
    <w:p w14:paraId="1041A1A7" w14:textId="7710ABB8" w:rsidR="00BE1FDC" w:rsidRPr="00BE1FDC" w:rsidRDefault="00BE1FDC" w:rsidP="00BE1FDC">
      <w:pPr>
        <w:jc w:val="both"/>
      </w:pPr>
      <w:r w:rsidRPr="00BE1FDC">
        <w:t>Vabariigi Valitsuse 12. aprilli 2012. a korraldusega nr 173 „Maakonnaplaneeringu koostamise</w:t>
      </w:r>
      <w:r>
        <w:t xml:space="preserve"> </w:t>
      </w:r>
      <w:r w:rsidRPr="00BE1FDC">
        <w:t>algatamine Rail Balticu raudtee trassi koridori asukoha määramiseks“ algatati Harju, Rapla ja</w:t>
      </w:r>
      <w:r>
        <w:t xml:space="preserve"> </w:t>
      </w:r>
      <w:r w:rsidRPr="00BE1FDC">
        <w:t>Pärnu maakonnaplaneeringu koostamine Rail Balticu raudteetrassi koridori asukoha</w:t>
      </w:r>
      <w:r>
        <w:t xml:space="preserve"> </w:t>
      </w:r>
      <w:r w:rsidRPr="00BE1FDC">
        <w:t xml:space="preserve">määramiseks. Eelnõu koostamise ajaks </w:t>
      </w:r>
      <w:r w:rsidR="00A618DC">
        <w:t>o</w:t>
      </w:r>
      <w:r w:rsidR="00E51DCC">
        <w:t>n</w:t>
      </w:r>
      <w:r w:rsidR="00A618DC">
        <w:t xml:space="preserve"> maakonnaplaneeringud kehtestatud</w:t>
      </w:r>
      <w:r w:rsidRPr="00BE1FDC">
        <w:t>.</w:t>
      </w:r>
    </w:p>
    <w:p w14:paraId="3008455A" w14:textId="77777777" w:rsidR="00BE1FDC" w:rsidRDefault="00BE1FDC" w:rsidP="00BE1FDC">
      <w:pPr>
        <w:jc w:val="both"/>
      </w:pPr>
    </w:p>
    <w:p w14:paraId="2B5E9AD2" w14:textId="20BB8ED5" w:rsidR="00BE1FDC" w:rsidRPr="00BE1FDC" w:rsidRDefault="00BE1FDC" w:rsidP="00BE1FDC">
      <w:pPr>
        <w:jc w:val="both"/>
      </w:pPr>
      <w:r w:rsidRPr="00BE1FDC">
        <w:t>Toetuse andmine ehitiste ehitamiseks või muu pikaajalise investeeringu tegemiseks, mille</w:t>
      </w:r>
      <w:r>
        <w:t xml:space="preserve"> </w:t>
      </w:r>
      <w:r w:rsidRPr="00BE1FDC">
        <w:t>tegelik kasutamise aeg jääb raudtee ehitamise tõttu suhteliselt lühikeks, ei aita kaasa</w:t>
      </w:r>
      <w:r>
        <w:t xml:space="preserve"> </w:t>
      </w:r>
      <w:r w:rsidRPr="00BE1FDC">
        <w:t>põllumajanduse konkurentsivõimelisuse parandamisele ehk toetuse eesmärgi saavutamisele.</w:t>
      </w:r>
      <w:r>
        <w:t xml:space="preserve"> </w:t>
      </w:r>
      <w:r w:rsidRPr="00BE1FDC">
        <w:t>Seetõttu oleks toetuse määramine Rail Balticu trassi koridori jäävale maale tehtavateks</w:t>
      </w:r>
      <w:r>
        <w:t xml:space="preserve"> </w:t>
      </w:r>
      <w:r w:rsidRPr="00BE1FDC">
        <w:t xml:space="preserve">investeeringuteks vastuolus toetuse andmise eesmärgiga ja </w:t>
      </w:r>
      <w:r w:rsidR="00E51DCC">
        <w:t xml:space="preserve">seega </w:t>
      </w:r>
      <w:r w:rsidRPr="00BE1FDC">
        <w:t xml:space="preserve">tuleb </w:t>
      </w:r>
      <w:r w:rsidR="00E51DCC">
        <w:t xml:space="preserve">seda </w:t>
      </w:r>
      <w:r w:rsidRPr="00BE1FDC">
        <w:t>selgelt välistada. Isegi kui</w:t>
      </w:r>
      <w:r>
        <w:t xml:space="preserve"> </w:t>
      </w:r>
      <w:r w:rsidRPr="00BE1FDC">
        <w:t>toetuse abil ehitatud ehitist või muud investeeringut on võimalik säilitada ja sihipäraselt</w:t>
      </w:r>
      <w:r>
        <w:t xml:space="preserve"> </w:t>
      </w:r>
      <w:r w:rsidRPr="00BE1FDC">
        <w:t xml:space="preserve">kasutada </w:t>
      </w:r>
      <w:r w:rsidR="00B2589D">
        <w:t xml:space="preserve">kolme või viie </w:t>
      </w:r>
      <w:r w:rsidRPr="00BE1FDC">
        <w:t>aasta jooksul arvates PRIA poolt viimase toetusosa väljamaksmisest,</w:t>
      </w:r>
      <w:r>
        <w:t xml:space="preserve"> </w:t>
      </w:r>
      <w:r w:rsidRPr="00BE1FDC">
        <w:t>võib toetuse abil seatud pikemaajaline eesmärk jääda ikkagi saavutamata.</w:t>
      </w:r>
    </w:p>
    <w:p w14:paraId="0E63F844" w14:textId="77777777" w:rsidR="00BE1FDC" w:rsidRDefault="00BE1FDC" w:rsidP="00BE1FDC">
      <w:pPr>
        <w:jc w:val="both"/>
      </w:pPr>
    </w:p>
    <w:p w14:paraId="79CE6205" w14:textId="0451E8F6" w:rsidR="003A226B" w:rsidRPr="00BE1FDC" w:rsidRDefault="00BE1FDC" w:rsidP="00BE1FDC">
      <w:pPr>
        <w:jc w:val="both"/>
      </w:pPr>
      <w:r w:rsidRPr="00BE1FDC">
        <w:t>Algatatud maakonnaplaneeringute kohaselt moodustub Rail Balticu raudteetrassi koridor</w:t>
      </w:r>
      <w:r>
        <w:t xml:space="preserve"> </w:t>
      </w:r>
      <w:r w:rsidRPr="00BE1FDC">
        <w:t>raudteemaast ja selle kaitsevööndist (66 m) ning nihutamisruumist (olenevalt asukohast 142</w:t>
      </w:r>
      <w:r>
        <w:t xml:space="preserve"> </w:t>
      </w:r>
      <w:r w:rsidRPr="00BE1FDC">
        <w:t>või 42 m kummalgi pool raudteemaast ja kaitsevööndist). Toetust ei anta kogu Rail Balticu</w:t>
      </w:r>
      <w:r>
        <w:t xml:space="preserve"> </w:t>
      </w:r>
      <w:r w:rsidRPr="00BE1FDC">
        <w:t>raudteetrassi koridori jääval maal tegevuste elluviimiseks. Kuigi n-ö nihutamisruumi jääv maa</w:t>
      </w:r>
      <w:r>
        <w:t xml:space="preserve"> </w:t>
      </w:r>
      <w:r w:rsidRPr="00BE1FDC">
        <w:t xml:space="preserve">võib jääda puutumatuks, ei ole toetuse andmine sellel alal </w:t>
      </w:r>
      <w:r w:rsidR="00E51DCC">
        <w:t>elluviida</w:t>
      </w:r>
      <w:r w:rsidRPr="00BE1FDC">
        <w:t>vateks tegevusteks õigustatud</w:t>
      </w:r>
      <w:r>
        <w:t xml:space="preserve"> </w:t>
      </w:r>
      <w:r w:rsidRPr="00BE1FDC">
        <w:t>kahel põhjusel. Esiteks ei ole praeguseks hetkeks veel lõplikult teada, kuhu täpselt jääb</w:t>
      </w:r>
      <w:r>
        <w:t xml:space="preserve"> </w:t>
      </w:r>
      <w:r w:rsidRPr="00BE1FDC">
        <w:t>raudteemaa (raudteetrassi täpne paiknemine selgub ehituse eelprojekti tulemuste alusel), ning</w:t>
      </w:r>
      <w:r>
        <w:t xml:space="preserve"> </w:t>
      </w:r>
      <w:r w:rsidRPr="00BE1FDC">
        <w:t>teiseks peab arvestama ka raudtee ehituseks vajalike juurdepääsuteede ja ehitusmaterjali</w:t>
      </w:r>
      <w:r>
        <w:t xml:space="preserve"> </w:t>
      </w:r>
      <w:r w:rsidRPr="00BE1FDC">
        <w:t>ladustamisplatside rajamise vajadusega. Muu investeeringu all on silmas peetud eelkõige</w:t>
      </w:r>
      <w:r>
        <w:t xml:space="preserve"> </w:t>
      </w:r>
      <w:r w:rsidRPr="00BE1FDC">
        <w:t>pikaaegseid investeeringuid, mis on statsionaarselt maaga seotud ja mis eemaldamisel</w:t>
      </w:r>
      <w:r>
        <w:t xml:space="preserve"> </w:t>
      </w:r>
      <w:r w:rsidRPr="00BE1FDC">
        <w:t>kaotavad suure tõenäosusega oma väärtuse. Liikuva tehnika ja seadmete esialg</w:t>
      </w:r>
      <w:r w:rsidR="00B3763D">
        <w:t>n</w:t>
      </w:r>
      <w:r w:rsidRPr="00BE1FDC">
        <w:t>e paigutamine</w:t>
      </w:r>
      <w:r>
        <w:t xml:space="preserve"> </w:t>
      </w:r>
      <w:r w:rsidRPr="00BE1FDC">
        <w:t>kõnealusele maale ei ole välistatud, küll aga peaks toetuse saaja ette nägema ettevõtte uue</w:t>
      </w:r>
      <w:r>
        <w:t xml:space="preserve"> </w:t>
      </w:r>
      <w:r w:rsidRPr="00BE1FDC">
        <w:t>tegevuskoha, kus saab toetuse abil ostetud vara edasi kasutada.</w:t>
      </w:r>
    </w:p>
    <w:p w14:paraId="28D76BBE" w14:textId="1E5810B2" w:rsidR="003A226B" w:rsidRPr="00CA6F5F" w:rsidRDefault="003A226B" w:rsidP="004356F0">
      <w:pPr>
        <w:jc w:val="both"/>
        <w:rPr>
          <w:b/>
        </w:rPr>
      </w:pPr>
    </w:p>
    <w:p w14:paraId="33853623" w14:textId="1AA0303B" w:rsidR="003A226B" w:rsidRPr="00CA6F5F" w:rsidRDefault="003A226B" w:rsidP="00CA6F5F">
      <w:pPr>
        <w:jc w:val="both"/>
      </w:pPr>
      <w:r w:rsidRPr="00CA6F5F">
        <w:rPr>
          <w:b/>
        </w:rPr>
        <w:t xml:space="preserve">Eelnõu </w:t>
      </w:r>
      <w:r w:rsidR="00CA6F5F" w:rsidRPr="00CA6F5F">
        <w:rPr>
          <w:b/>
        </w:rPr>
        <w:t>punktiga</w:t>
      </w:r>
      <w:r w:rsidR="00505B1A">
        <w:rPr>
          <w:b/>
        </w:rPr>
        <w:t xml:space="preserve"> </w:t>
      </w:r>
      <w:r w:rsidR="00FE3BE1">
        <w:rPr>
          <w:b/>
        </w:rPr>
        <w:t>42</w:t>
      </w:r>
      <w:r w:rsidR="00CA6F5F" w:rsidRPr="00CA6F5F">
        <w:rPr>
          <w:b/>
        </w:rPr>
        <w:t xml:space="preserve"> </w:t>
      </w:r>
      <w:r w:rsidR="00CA6F5F" w:rsidRPr="00CA6F5F">
        <w:t>tunnistatakse kehtetuks määruse lisad 2, 3 ja 5. Muudatus on seotud</w:t>
      </w:r>
      <w:r w:rsidR="00B2589D">
        <w:t xml:space="preserve"> </w:t>
      </w:r>
      <w:r w:rsidR="00895FCB">
        <w:t xml:space="preserve">eelnõu punktides </w:t>
      </w:r>
      <w:r w:rsidR="00C43A64">
        <w:t>1</w:t>
      </w:r>
      <w:r w:rsidR="00934885">
        <w:t>5</w:t>
      </w:r>
      <w:r w:rsidR="00895FCB">
        <w:t xml:space="preserve">, </w:t>
      </w:r>
      <w:r w:rsidR="00934885">
        <w:t>27</w:t>
      </w:r>
      <w:r w:rsidR="00895FCB">
        <w:t xml:space="preserve"> ja </w:t>
      </w:r>
      <w:r w:rsidR="007B0395">
        <w:t>3</w:t>
      </w:r>
      <w:r w:rsidR="00934885">
        <w:t>5</w:t>
      </w:r>
      <w:r w:rsidR="00CA6F5F" w:rsidRPr="00CA6F5F">
        <w:t xml:space="preserve"> tehtud muudatustega.</w:t>
      </w:r>
    </w:p>
    <w:p w14:paraId="353D6B6A" w14:textId="77777777" w:rsidR="0017625F" w:rsidRPr="002A578D" w:rsidRDefault="0017625F" w:rsidP="004356F0">
      <w:pPr>
        <w:jc w:val="both"/>
      </w:pPr>
    </w:p>
    <w:p w14:paraId="4843E890" w14:textId="40A07ABD" w:rsidR="00661FE8" w:rsidRDefault="00197F20" w:rsidP="004356F0">
      <w:pPr>
        <w:jc w:val="both"/>
      </w:pPr>
      <w:r w:rsidRPr="002A578D">
        <w:rPr>
          <w:b/>
        </w:rPr>
        <w:t xml:space="preserve">Eelnõu punktis </w:t>
      </w:r>
      <w:r w:rsidR="00FE3BE1">
        <w:rPr>
          <w:b/>
        </w:rPr>
        <w:t>43</w:t>
      </w:r>
      <w:r w:rsidR="00385572" w:rsidRPr="002A578D">
        <w:rPr>
          <w:b/>
        </w:rPr>
        <w:t xml:space="preserve"> </w:t>
      </w:r>
      <w:r w:rsidR="003A226B">
        <w:t>kehtestatakse määruse lisa 4</w:t>
      </w:r>
      <w:r w:rsidR="000E7F88" w:rsidRPr="002A578D">
        <w:t xml:space="preserve"> uues sõnastuses.</w:t>
      </w:r>
      <w:r w:rsidR="004265F0">
        <w:t xml:space="preserve"> </w:t>
      </w:r>
    </w:p>
    <w:p w14:paraId="0A17C5F9" w14:textId="44570958" w:rsidR="00661FE8" w:rsidRDefault="00661FE8" w:rsidP="004356F0">
      <w:pPr>
        <w:jc w:val="both"/>
      </w:pPr>
    </w:p>
    <w:p w14:paraId="3C96760C" w14:textId="5F87ABC5" w:rsidR="00661FE8" w:rsidRDefault="00B2589D" w:rsidP="004356F0">
      <w:pPr>
        <w:jc w:val="both"/>
      </w:pPr>
      <w:r>
        <w:t>Hindamiskriteeriumit 4</w:t>
      </w:r>
      <w:r w:rsidR="00661FE8">
        <w:t>.2 täpsustatakse joonealuse märkusega, et kõrgemad hindepunktid saab taotleja, kelle ettevõtte koosseisu kuulub ekspordi edendamise eest vastustav personal. Madalamad hindepunktid saab taotleja, kes o</w:t>
      </w:r>
      <w:r w:rsidR="00334517">
        <w:t xml:space="preserve">stab </w:t>
      </w:r>
      <w:r w:rsidR="00815D15">
        <w:t>eespool nimetatud</w:t>
      </w:r>
      <w:r w:rsidR="00334517">
        <w:t xml:space="preserve"> teenust sisse või kasutab emaettevõtte ekspordi edendamise eest vastutavat personali.</w:t>
      </w:r>
    </w:p>
    <w:p w14:paraId="2FED61BC" w14:textId="77B388D1" w:rsidR="008759DA" w:rsidRDefault="008759DA" w:rsidP="004356F0">
      <w:pPr>
        <w:jc w:val="both"/>
      </w:pPr>
    </w:p>
    <w:p w14:paraId="3D94BE79" w14:textId="728E9E3F" w:rsidR="008759DA" w:rsidRDefault="008759DA" w:rsidP="004356F0">
      <w:pPr>
        <w:jc w:val="both"/>
      </w:pPr>
      <w:r>
        <w:t>Hindamiskriteeriumit 5.1 täpsustatakse joonealuse märkusega, et kõrgemad h</w:t>
      </w:r>
      <w:r w:rsidR="00C05EC7">
        <w:t>indepunktid saab taotleja, kes investeeringu tulemusena rajab täiesti uue ja tervikliku töötlemis</w:t>
      </w:r>
      <w:r w:rsidR="00BD7C1A">
        <w:t xml:space="preserve">e või turustamise </w:t>
      </w:r>
      <w:r w:rsidR="00C05EC7">
        <w:t>üksuse. Madalamad hindepunktid saab taotleja, kes investeeringu tulemusena koondab mitu töötlemis</w:t>
      </w:r>
      <w:r w:rsidR="00BD7C1A">
        <w:t xml:space="preserve">e või turustamise </w:t>
      </w:r>
      <w:r w:rsidR="00C05EC7">
        <w:t>üksust ühte kohta</w:t>
      </w:r>
      <w:r w:rsidR="00815D15">
        <w:t>,</w:t>
      </w:r>
      <w:r w:rsidR="00C05EC7">
        <w:t xml:space="preserve"> sulgedes sama</w:t>
      </w:r>
      <w:r w:rsidR="00891F02">
        <w:t>l ajal</w:t>
      </w:r>
      <w:r w:rsidR="00C05EC7">
        <w:t xml:space="preserve"> olemasolevad töötlemisüksused.</w:t>
      </w:r>
    </w:p>
    <w:p w14:paraId="733B8984" w14:textId="77777777" w:rsidR="00661FE8" w:rsidRDefault="00661FE8" w:rsidP="004356F0">
      <w:pPr>
        <w:jc w:val="both"/>
      </w:pPr>
    </w:p>
    <w:p w14:paraId="5E8933BE" w14:textId="5DE193B7" w:rsidR="00661FE8" w:rsidRPr="002A578D" w:rsidRDefault="00661FE8" w:rsidP="004356F0">
      <w:pPr>
        <w:jc w:val="both"/>
      </w:pPr>
      <w:r w:rsidRPr="00661FE8">
        <w:t>Ülejäänud hindamiskriteeriumites tehtud muudatused on täpsustavad.</w:t>
      </w:r>
    </w:p>
    <w:p w14:paraId="72C9A5EE" w14:textId="77777777" w:rsidR="00A9532A" w:rsidRPr="002A578D" w:rsidRDefault="00A9532A" w:rsidP="004356F0">
      <w:pPr>
        <w:jc w:val="both"/>
      </w:pPr>
    </w:p>
    <w:p w14:paraId="3CEF7E84" w14:textId="77777777" w:rsidR="00A9532A" w:rsidRPr="002A578D" w:rsidRDefault="00A9532A" w:rsidP="004356F0">
      <w:pPr>
        <w:jc w:val="both"/>
        <w:rPr>
          <w:b/>
        </w:rPr>
      </w:pPr>
      <w:r w:rsidRPr="002A578D">
        <w:rPr>
          <w:b/>
        </w:rPr>
        <w:t>3. Eelnõu vastavus Euroopa Liidu õigusele</w:t>
      </w:r>
    </w:p>
    <w:p w14:paraId="4AD56CE3" w14:textId="77777777" w:rsidR="00A9532A" w:rsidRPr="002A578D" w:rsidRDefault="00A9532A" w:rsidP="004356F0">
      <w:pPr>
        <w:jc w:val="both"/>
        <w:rPr>
          <w:b/>
        </w:rPr>
      </w:pPr>
    </w:p>
    <w:p w14:paraId="78BF1F9F" w14:textId="4B043B12" w:rsidR="00A9532A" w:rsidRPr="002A578D" w:rsidRDefault="00A9532A" w:rsidP="004356F0">
      <w:pPr>
        <w:jc w:val="both"/>
      </w:pPr>
      <w:r w:rsidRPr="002A578D">
        <w:t>Eelnõu väljatöötamisel võeti aluseks Euroopa Parlamendi ja nõukogu määrus (EÜ) nr 1305/2013</w:t>
      </w:r>
      <w:r w:rsidR="000B7705" w:rsidRPr="002A578D">
        <w:t xml:space="preserve"> Euroopa Maaelu Arengu Põllumajandusfondist (EAFRD) antavate maaelu arengu toetuste kohta ja millega tunnistatakse kehtetuks nõukogu määrus (EÜ) nr 1698/2005 (ELT L 347, 20.12.2013, lk 487–548)</w:t>
      </w:r>
      <w:r w:rsidR="00F55DBD">
        <w:t xml:space="preserve">, </w:t>
      </w:r>
      <w:r w:rsidR="00F55DBD" w:rsidRPr="00F55DBD">
        <w:t>Euroopa Parlamendi ja nõukogu määruse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r w:rsidRPr="002A578D">
        <w:t xml:space="preserve"> </w:t>
      </w:r>
      <w:r w:rsidR="001D21FF">
        <w:t>ning</w:t>
      </w:r>
      <w:r w:rsidR="000B7705" w:rsidRPr="002A578D">
        <w:t xml:space="preserve"> </w:t>
      </w:r>
      <w:r w:rsidRPr="002A578D">
        <w:t>komisjoni määrus (EL) nr 651/2014</w:t>
      </w:r>
      <w:r w:rsidR="000B7705" w:rsidRPr="002A578D">
        <w:t xml:space="preserve"> ELi aluslepingu artiklite 107 ja 108 kohaldamise kohta, millega teatavat liiki abi tunnistatakse siseturuga kokkusobivaks (ELT L 187, 26.06.2014, lk 1–78)</w:t>
      </w:r>
      <w:r w:rsidR="00E02E3A" w:rsidRPr="002A578D">
        <w:t>.</w:t>
      </w:r>
    </w:p>
    <w:p w14:paraId="572D0AD3" w14:textId="77777777" w:rsidR="00B92D7F" w:rsidRPr="002A578D" w:rsidRDefault="00B92D7F" w:rsidP="004356F0">
      <w:pPr>
        <w:jc w:val="both"/>
      </w:pPr>
    </w:p>
    <w:p w14:paraId="7605286D" w14:textId="77777777" w:rsidR="00A9532A" w:rsidRPr="004A7F60" w:rsidRDefault="00A9532A" w:rsidP="004356F0">
      <w:pPr>
        <w:jc w:val="both"/>
      </w:pPr>
      <w:r w:rsidRPr="002A578D">
        <w:t xml:space="preserve">Eelnõus nimetatud Euroopa Liidu õigusaktid </w:t>
      </w:r>
      <w:r w:rsidR="000B7705" w:rsidRPr="002A578D">
        <w:t xml:space="preserve">on kättesaadavad Euroopa Liidu Teataja </w:t>
      </w:r>
      <w:r w:rsidR="000B7705" w:rsidRPr="004A7F60">
        <w:t xml:space="preserve">veebilehel </w:t>
      </w:r>
      <w:hyperlink r:id="rId10" w:history="1">
        <w:r w:rsidR="00AD4069" w:rsidRPr="004A7F60">
          <w:rPr>
            <w:rStyle w:val="Hyperlink"/>
            <w:color w:val="auto"/>
          </w:rPr>
          <w:t>http://eur-lex.europa.eu</w:t>
        </w:r>
      </w:hyperlink>
      <w:r w:rsidR="000B7705" w:rsidRPr="004A7F60">
        <w:t>.</w:t>
      </w:r>
    </w:p>
    <w:p w14:paraId="3EECCD64" w14:textId="77777777" w:rsidR="00AD4069" w:rsidRPr="00E6392A" w:rsidRDefault="00AD4069" w:rsidP="004356F0">
      <w:pPr>
        <w:jc w:val="both"/>
      </w:pPr>
    </w:p>
    <w:p w14:paraId="1D904F78" w14:textId="77777777" w:rsidR="00A9532A" w:rsidRPr="005601D6" w:rsidRDefault="00A9532A" w:rsidP="004356F0">
      <w:pPr>
        <w:jc w:val="both"/>
        <w:rPr>
          <w:b/>
        </w:rPr>
      </w:pPr>
      <w:r w:rsidRPr="005601D6">
        <w:rPr>
          <w:b/>
        </w:rPr>
        <w:t>4. Määruse mõjud</w:t>
      </w:r>
    </w:p>
    <w:p w14:paraId="444575C7" w14:textId="77777777" w:rsidR="00A9532A" w:rsidRPr="002A578D" w:rsidRDefault="00A9532A" w:rsidP="004356F0">
      <w:pPr>
        <w:jc w:val="both"/>
        <w:rPr>
          <w:b/>
        </w:rPr>
      </w:pPr>
    </w:p>
    <w:p w14:paraId="37C41C33" w14:textId="02CE9DB9" w:rsidR="003E3FA7" w:rsidRPr="002A578D" w:rsidRDefault="00A9532A" w:rsidP="00131F4E">
      <w:pPr>
        <w:jc w:val="both"/>
      </w:pPr>
      <w:r w:rsidRPr="002A578D">
        <w:t>Muudatus</w:t>
      </w:r>
      <w:r w:rsidR="002E5DC8" w:rsidRPr="002A578D">
        <w:t>ed</w:t>
      </w:r>
      <w:r w:rsidRPr="002A578D">
        <w:t xml:space="preserve"> taga</w:t>
      </w:r>
      <w:r w:rsidR="002E5DC8" w:rsidRPr="002A578D">
        <w:t>vad</w:t>
      </w:r>
      <w:r w:rsidRPr="002A578D">
        <w:t xml:space="preserve"> määruse rakendamisel</w:t>
      </w:r>
      <w:r w:rsidR="00B56264" w:rsidRPr="00B56264">
        <w:t xml:space="preserve"> </w:t>
      </w:r>
      <w:r w:rsidR="00B56264" w:rsidRPr="002A578D">
        <w:t>parema õigusselguse</w:t>
      </w:r>
      <w:r w:rsidRPr="002A578D">
        <w:t>.</w:t>
      </w:r>
      <w:r w:rsidR="002E5DC8" w:rsidRPr="002A578D">
        <w:t xml:space="preserve"> </w:t>
      </w:r>
      <w:r w:rsidR="00F62C7A" w:rsidRPr="002A578D">
        <w:t xml:space="preserve">Muudatused </w:t>
      </w:r>
      <w:r w:rsidR="002E5DC8" w:rsidRPr="002A578D">
        <w:t>loovad ettevõtjatele paremad ja selgemad tingimused toetuse taotlemiseks.</w:t>
      </w:r>
      <w:r w:rsidR="000A6A1B" w:rsidRPr="002A578D">
        <w:t xml:space="preserve"> </w:t>
      </w:r>
      <w:r w:rsidR="007921FC" w:rsidRPr="007921FC">
        <w:t xml:space="preserve">Oluliseks muudatuseks on üksnes elektroonsele taotlemisele üleminek. </w:t>
      </w:r>
      <w:r w:rsidR="00FF345D" w:rsidRPr="002A578D">
        <w:t xml:space="preserve">Tulenevalt elektroonsele taotlemisele üleminekust ei pea taotleja enam koos avaldusega esitama nii palju lisadokumente, kuna asjakohastes dokumentides kajastatavad andmed muutuvad muudatuse tulemusel avalduse osaks </w:t>
      </w:r>
      <w:r w:rsidR="00632FAF">
        <w:t>ning</w:t>
      </w:r>
      <w:r w:rsidR="00632FAF" w:rsidRPr="002A578D">
        <w:t xml:space="preserve"> </w:t>
      </w:r>
      <w:r w:rsidR="00FF345D" w:rsidRPr="002A578D">
        <w:t>nende andmete edastamine ja kajastamine koos avaldusega muutub lihtsamaks. Muudatus lihtsustab ühest küljest toetuse taotlemis</w:t>
      </w:r>
      <w:r w:rsidR="00632FAF">
        <w:t>t</w:t>
      </w:r>
      <w:r w:rsidR="00FF345D" w:rsidRPr="002A578D">
        <w:t>, kuid teisest küljest vähendab toetuse taotlemiseks avalduse esitamise võimalusi (jääb vaid elektroonne taotlemine). Elektroonne taotlemine aitab kaasa taotluste kiirema ja ressursitõhusama menetlemis</w:t>
      </w:r>
      <w:r w:rsidR="00632FAF">
        <w:t xml:space="preserve">e </w:t>
      </w:r>
      <w:r w:rsidR="00FF345D" w:rsidRPr="002A578D">
        <w:t xml:space="preserve">süsteemi rakendamisele. Taotluste tõhusam menetlemine ja erinevate protsesside lihtsustamine on nii toetuse saajate kui ka </w:t>
      </w:r>
      <w:r w:rsidR="003E3FA7">
        <w:t xml:space="preserve">menetlejate </w:t>
      </w:r>
      <w:r w:rsidR="00FF345D" w:rsidRPr="002A578D">
        <w:t xml:space="preserve">huvides. </w:t>
      </w:r>
      <w:r w:rsidR="00131F4E">
        <w:t>Tänu elektroonsele taotlemisele lüheneb taotluste menetlemise aeg 100</w:t>
      </w:r>
      <w:r w:rsidR="007921FC">
        <w:t>-lt</w:t>
      </w:r>
      <w:r w:rsidR="00131F4E">
        <w:t xml:space="preserve"> tööpäevalt 80</w:t>
      </w:r>
      <w:r w:rsidR="007921FC">
        <w:t>-</w:t>
      </w:r>
      <w:r w:rsidR="00131F4E">
        <w:t>le</w:t>
      </w:r>
      <w:r w:rsidR="007921FC">
        <w:t xml:space="preserve"> tööpäevale</w:t>
      </w:r>
      <w:r w:rsidR="00131F4E">
        <w:t>.</w:t>
      </w:r>
    </w:p>
    <w:p w14:paraId="797AA03F" w14:textId="77777777" w:rsidR="00F03158" w:rsidRPr="002A578D" w:rsidRDefault="00F03158" w:rsidP="004356F0">
      <w:pPr>
        <w:jc w:val="both"/>
      </w:pPr>
    </w:p>
    <w:p w14:paraId="70629B47" w14:textId="77777777" w:rsidR="00F03158" w:rsidRPr="002A578D" w:rsidRDefault="00F03158" w:rsidP="004356F0">
      <w:pPr>
        <w:jc w:val="both"/>
        <w:rPr>
          <w:b/>
        </w:rPr>
      </w:pPr>
      <w:r w:rsidRPr="002A578D">
        <w:rPr>
          <w:b/>
        </w:rPr>
        <w:t>5. Määruse rakendamisega seotud tegevused, vajalikud kulud ja määruse rakendamise eeldatavad tulud</w:t>
      </w:r>
    </w:p>
    <w:p w14:paraId="11EBDF84" w14:textId="77777777" w:rsidR="00F03158" w:rsidRPr="002A578D" w:rsidRDefault="00F03158" w:rsidP="004356F0">
      <w:pPr>
        <w:jc w:val="both"/>
        <w:rPr>
          <w:b/>
        </w:rPr>
      </w:pPr>
    </w:p>
    <w:p w14:paraId="19EE465F" w14:textId="3C69C5A4" w:rsidR="006663BF" w:rsidRDefault="006663BF" w:rsidP="004356F0">
      <w:pPr>
        <w:jc w:val="both"/>
      </w:pPr>
      <w:r>
        <w:t xml:space="preserve">Tunnustatud tootjarühma </w:t>
      </w:r>
      <w:r w:rsidRPr="006663BF">
        <w:t>põll</w:t>
      </w:r>
      <w:r w:rsidR="00467E3B">
        <w:t>umajandustoodete töötlemise ja</w:t>
      </w:r>
      <w:r w:rsidRPr="006663BF">
        <w:t xml:space="preserve"> turustamise investeeringutoetust rahastatakse 85% ulatuses EAFRD-st ning 15% ulatuses Eesti riigi riigieelarvest. Arengukava meetme 4 „Investeeringud materiaalsesse varasse“ tegevuse liigi „Investeeringud põllumajandustoodete töötlemiseks ja turustamiseks“ raames antavate toetuste kogueelarve programmiperioodil on 67 miljonit eurot, millest Euroopa Liidu osa on 56,95 miljonit eurot ja Eesti riigi kaasfinantseering 10,05 miljonit eurot. Toetuse eelarve programmiperioodil kokku on </w:t>
      </w:r>
      <w:r w:rsidR="00467E3B">
        <w:t xml:space="preserve">9,822 </w:t>
      </w:r>
      <w:r w:rsidRPr="006663BF">
        <w:t>miljonit eurot.</w:t>
      </w:r>
    </w:p>
    <w:p w14:paraId="298EEF50" w14:textId="77777777" w:rsidR="006663BF" w:rsidRDefault="006663BF" w:rsidP="004356F0">
      <w:pPr>
        <w:jc w:val="both"/>
      </w:pPr>
    </w:p>
    <w:p w14:paraId="20EA9403" w14:textId="1AD2F1B2" w:rsidR="00F03158" w:rsidRPr="002A578D" w:rsidRDefault="00F03158" w:rsidP="004356F0">
      <w:pPr>
        <w:jc w:val="both"/>
      </w:pPr>
      <w:r w:rsidRPr="002A578D">
        <w:t>Määruse rakendamisega ei kaasne</w:t>
      </w:r>
      <w:r w:rsidR="00632FAF" w:rsidRPr="00632FAF">
        <w:t xml:space="preserve"> </w:t>
      </w:r>
      <w:r w:rsidR="00632FAF" w:rsidRPr="002A578D">
        <w:t>lisakulusid</w:t>
      </w:r>
      <w:r w:rsidRPr="002A578D">
        <w:t>.</w:t>
      </w:r>
    </w:p>
    <w:p w14:paraId="623CEE63" w14:textId="77777777" w:rsidR="00F03158" w:rsidRPr="002A578D" w:rsidRDefault="00F03158" w:rsidP="004356F0">
      <w:pPr>
        <w:jc w:val="both"/>
      </w:pPr>
    </w:p>
    <w:p w14:paraId="569227C0" w14:textId="77777777" w:rsidR="00F03158" w:rsidRPr="002A578D" w:rsidRDefault="00F03158" w:rsidP="004356F0">
      <w:pPr>
        <w:jc w:val="both"/>
        <w:rPr>
          <w:b/>
        </w:rPr>
      </w:pPr>
      <w:r w:rsidRPr="002A578D">
        <w:rPr>
          <w:b/>
        </w:rPr>
        <w:t>6. Määruse jõustumine</w:t>
      </w:r>
    </w:p>
    <w:p w14:paraId="400BDE25" w14:textId="77777777" w:rsidR="00F03158" w:rsidRPr="002A578D" w:rsidRDefault="00F03158" w:rsidP="004356F0">
      <w:pPr>
        <w:jc w:val="both"/>
      </w:pPr>
    </w:p>
    <w:p w14:paraId="225612C7" w14:textId="77777777" w:rsidR="00F03158" w:rsidRPr="002A578D" w:rsidRDefault="007962FF" w:rsidP="004356F0">
      <w:pPr>
        <w:jc w:val="both"/>
      </w:pPr>
      <w:r w:rsidRPr="002A578D">
        <w:t>Määrus jõustub üldises korras.</w:t>
      </w:r>
    </w:p>
    <w:p w14:paraId="5B1B0DE5" w14:textId="77777777" w:rsidR="00F03158" w:rsidRPr="002A578D" w:rsidRDefault="00F03158" w:rsidP="004356F0">
      <w:pPr>
        <w:jc w:val="both"/>
      </w:pPr>
    </w:p>
    <w:p w14:paraId="37F0ED79" w14:textId="77777777" w:rsidR="00F03158" w:rsidRPr="002A578D" w:rsidRDefault="00F03158" w:rsidP="004356F0">
      <w:pPr>
        <w:jc w:val="both"/>
        <w:rPr>
          <w:b/>
        </w:rPr>
      </w:pPr>
      <w:r w:rsidRPr="002A578D">
        <w:rPr>
          <w:b/>
        </w:rPr>
        <w:t>7. Eelnõu kooskõlastamine, huvirühmade kaasamine ja avalik konsultatsioon</w:t>
      </w:r>
    </w:p>
    <w:p w14:paraId="30D30849" w14:textId="77777777" w:rsidR="00F03158" w:rsidRPr="002A578D" w:rsidRDefault="00F03158" w:rsidP="004356F0">
      <w:pPr>
        <w:jc w:val="both"/>
        <w:rPr>
          <w:b/>
        </w:rPr>
      </w:pPr>
    </w:p>
    <w:p w14:paraId="2AF19D61" w14:textId="2A51FDF7" w:rsidR="00837D97" w:rsidRPr="002A578D" w:rsidRDefault="00F03158" w:rsidP="004356F0">
      <w:pPr>
        <w:jc w:val="both"/>
      </w:pPr>
      <w:r w:rsidRPr="002A578D">
        <w:t xml:space="preserve">Eelnõu esitatakse </w:t>
      </w:r>
      <w:r w:rsidR="00D07B16" w:rsidRPr="002A578D">
        <w:t xml:space="preserve">eelnõude infosüsteemi EIS kaudu </w:t>
      </w:r>
      <w:r w:rsidRPr="002A578D">
        <w:t>kooskõlastamiseks Rahandusministeeriumile ning Majandus- ja Kommunikatsiooniministeeriumile.</w:t>
      </w:r>
      <w:r w:rsidR="00BD106C" w:rsidRPr="002A578D">
        <w:t xml:space="preserve"> </w:t>
      </w:r>
    </w:p>
    <w:p w14:paraId="122F694F" w14:textId="77777777" w:rsidR="003E3FA7" w:rsidRDefault="003E3FA7" w:rsidP="004356F0">
      <w:pPr>
        <w:jc w:val="both"/>
      </w:pPr>
    </w:p>
    <w:p w14:paraId="3FE7B1B9" w14:textId="77777777" w:rsidR="00F03158" w:rsidRPr="002A578D" w:rsidRDefault="00BD106C" w:rsidP="004356F0">
      <w:pPr>
        <w:jc w:val="both"/>
      </w:pPr>
      <w:r w:rsidRPr="002A578D">
        <w:t>Eelnõu on koostatud koostöös PRIA-ga.</w:t>
      </w:r>
      <w:r w:rsidR="003E3FA7" w:rsidRPr="003E3FA7">
        <w:t xml:space="preserve"> Eelnõu esitatakse arvamuse andmiseks</w:t>
      </w:r>
      <w:r w:rsidR="003E3FA7">
        <w:t xml:space="preserve"> PRIA-le.</w:t>
      </w:r>
    </w:p>
    <w:p w14:paraId="3699DEA0" w14:textId="77777777" w:rsidR="00BD106C" w:rsidRPr="002A578D" w:rsidRDefault="00BD106C" w:rsidP="004356F0">
      <w:pPr>
        <w:jc w:val="both"/>
      </w:pPr>
    </w:p>
    <w:sectPr w:rsidR="00BD106C" w:rsidRPr="002A578D" w:rsidSect="004D33AE">
      <w:footerReference w:type="default" r:id="rId11"/>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A1CC" w14:textId="77777777" w:rsidR="001F2FA2" w:rsidRDefault="001F2FA2" w:rsidP="003D42EE">
      <w:r>
        <w:separator/>
      </w:r>
    </w:p>
  </w:endnote>
  <w:endnote w:type="continuationSeparator" w:id="0">
    <w:p w14:paraId="0B7F068A" w14:textId="77777777" w:rsidR="001F2FA2" w:rsidRDefault="001F2FA2" w:rsidP="003D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765731"/>
      <w:docPartObj>
        <w:docPartGallery w:val="Page Numbers (Bottom of Page)"/>
        <w:docPartUnique/>
      </w:docPartObj>
    </w:sdtPr>
    <w:sdtEndPr/>
    <w:sdtContent>
      <w:p w14:paraId="18CE2965" w14:textId="2121F52B" w:rsidR="003D42EE" w:rsidRDefault="003D42EE">
        <w:pPr>
          <w:pStyle w:val="Footer"/>
          <w:jc w:val="center"/>
        </w:pPr>
        <w:r>
          <w:fldChar w:fldCharType="begin"/>
        </w:r>
        <w:r>
          <w:instrText>PAGE   \* MERGEFORMAT</w:instrText>
        </w:r>
        <w:r>
          <w:fldChar w:fldCharType="separate"/>
        </w:r>
        <w:r w:rsidR="005F21AD">
          <w:rPr>
            <w:noProof/>
          </w:rPr>
          <w:t>1</w:t>
        </w:r>
        <w:r>
          <w:fldChar w:fldCharType="end"/>
        </w:r>
      </w:p>
    </w:sdtContent>
  </w:sdt>
  <w:p w14:paraId="44F55DFF" w14:textId="77777777" w:rsidR="003D42EE" w:rsidRDefault="003D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6274" w14:textId="77777777" w:rsidR="001F2FA2" w:rsidRDefault="001F2FA2" w:rsidP="003D42EE">
      <w:r>
        <w:separator/>
      </w:r>
    </w:p>
  </w:footnote>
  <w:footnote w:type="continuationSeparator" w:id="0">
    <w:p w14:paraId="18DB0CE6" w14:textId="77777777" w:rsidR="001F2FA2" w:rsidRDefault="001F2FA2" w:rsidP="003D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0B3"/>
    <w:rsid w:val="00002AAF"/>
    <w:rsid w:val="00014CDD"/>
    <w:rsid w:val="00015849"/>
    <w:rsid w:val="00017A49"/>
    <w:rsid w:val="00017D93"/>
    <w:rsid w:val="00020F13"/>
    <w:rsid w:val="000275E3"/>
    <w:rsid w:val="000428C3"/>
    <w:rsid w:val="000429AB"/>
    <w:rsid w:val="00053CB8"/>
    <w:rsid w:val="00055726"/>
    <w:rsid w:val="000678EA"/>
    <w:rsid w:val="00074D33"/>
    <w:rsid w:val="00074F25"/>
    <w:rsid w:val="00075B6D"/>
    <w:rsid w:val="000766F1"/>
    <w:rsid w:val="00077067"/>
    <w:rsid w:val="00077155"/>
    <w:rsid w:val="000816A4"/>
    <w:rsid w:val="0008236E"/>
    <w:rsid w:val="000913A1"/>
    <w:rsid w:val="000916F4"/>
    <w:rsid w:val="00094138"/>
    <w:rsid w:val="000944F7"/>
    <w:rsid w:val="000A1489"/>
    <w:rsid w:val="000A6116"/>
    <w:rsid w:val="000A67EA"/>
    <w:rsid w:val="000A6A1B"/>
    <w:rsid w:val="000B3AC1"/>
    <w:rsid w:val="000B5897"/>
    <w:rsid w:val="000B7705"/>
    <w:rsid w:val="000C0CD2"/>
    <w:rsid w:val="000C2DD8"/>
    <w:rsid w:val="000C69A4"/>
    <w:rsid w:val="000C7B5E"/>
    <w:rsid w:val="000D33D3"/>
    <w:rsid w:val="000E29C1"/>
    <w:rsid w:val="000E7F88"/>
    <w:rsid w:val="000F13A7"/>
    <w:rsid w:val="000F2897"/>
    <w:rsid w:val="000F3352"/>
    <w:rsid w:val="00105205"/>
    <w:rsid w:val="00107608"/>
    <w:rsid w:val="001106C0"/>
    <w:rsid w:val="00115C0F"/>
    <w:rsid w:val="00116FAD"/>
    <w:rsid w:val="00117596"/>
    <w:rsid w:val="00120D33"/>
    <w:rsid w:val="0012219C"/>
    <w:rsid w:val="00123526"/>
    <w:rsid w:val="001301AC"/>
    <w:rsid w:val="00131F4E"/>
    <w:rsid w:val="00135EE8"/>
    <w:rsid w:val="00137C30"/>
    <w:rsid w:val="00143693"/>
    <w:rsid w:val="001510A8"/>
    <w:rsid w:val="001531BE"/>
    <w:rsid w:val="0015492D"/>
    <w:rsid w:val="00154BE8"/>
    <w:rsid w:val="0016600F"/>
    <w:rsid w:val="00170AFD"/>
    <w:rsid w:val="0017625F"/>
    <w:rsid w:val="00176398"/>
    <w:rsid w:val="00185A99"/>
    <w:rsid w:val="00186FCA"/>
    <w:rsid w:val="00187306"/>
    <w:rsid w:val="00187CE6"/>
    <w:rsid w:val="00194604"/>
    <w:rsid w:val="00194D4C"/>
    <w:rsid w:val="00197F20"/>
    <w:rsid w:val="001A29C3"/>
    <w:rsid w:val="001A4407"/>
    <w:rsid w:val="001A647C"/>
    <w:rsid w:val="001B3407"/>
    <w:rsid w:val="001B428C"/>
    <w:rsid w:val="001B4A19"/>
    <w:rsid w:val="001B7069"/>
    <w:rsid w:val="001B7E02"/>
    <w:rsid w:val="001B7FE4"/>
    <w:rsid w:val="001C00DA"/>
    <w:rsid w:val="001C377A"/>
    <w:rsid w:val="001C4238"/>
    <w:rsid w:val="001C4705"/>
    <w:rsid w:val="001D21FF"/>
    <w:rsid w:val="001D516D"/>
    <w:rsid w:val="001E133F"/>
    <w:rsid w:val="001E662F"/>
    <w:rsid w:val="001F1F70"/>
    <w:rsid w:val="001F29A1"/>
    <w:rsid w:val="001F2FA2"/>
    <w:rsid w:val="001F6762"/>
    <w:rsid w:val="00201567"/>
    <w:rsid w:val="00202782"/>
    <w:rsid w:val="00210671"/>
    <w:rsid w:val="0021211F"/>
    <w:rsid w:val="00212628"/>
    <w:rsid w:val="00213816"/>
    <w:rsid w:val="00215E45"/>
    <w:rsid w:val="0022193D"/>
    <w:rsid w:val="00226E10"/>
    <w:rsid w:val="00235A15"/>
    <w:rsid w:val="002362CA"/>
    <w:rsid w:val="00240D83"/>
    <w:rsid w:val="00241FF9"/>
    <w:rsid w:val="00245ACE"/>
    <w:rsid w:val="0025058E"/>
    <w:rsid w:val="00250B05"/>
    <w:rsid w:val="00250BE7"/>
    <w:rsid w:val="00255902"/>
    <w:rsid w:val="00255A44"/>
    <w:rsid w:val="00257058"/>
    <w:rsid w:val="002629BD"/>
    <w:rsid w:val="00267179"/>
    <w:rsid w:val="0027548B"/>
    <w:rsid w:val="00276B73"/>
    <w:rsid w:val="002772D9"/>
    <w:rsid w:val="002809DA"/>
    <w:rsid w:val="002821C3"/>
    <w:rsid w:val="00282FB0"/>
    <w:rsid w:val="00284E3A"/>
    <w:rsid w:val="0029245D"/>
    <w:rsid w:val="00295C9B"/>
    <w:rsid w:val="002968E0"/>
    <w:rsid w:val="002A2893"/>
    <w:rsid w:val="002A578D"/>
    <w:rsid w:val="002A6198"/>
    <w:rsid w:val="002B02B3"/>
    <w:rsid w:val="002B1B3F"/>
    <w:rsid w:val="002B214F"/>
    <w:rsid w:val="002B50FB"/>
    <w:rsid w:val="002C7FEB"/>
    <w:rsid w:val="002D0817"/>
    <w:rsid w:val="002D5298"/>
    <w:rsid w:val="002D6483"/>
    <w:rsid w:val="002D758A"/>
    <w:rsid w:val="002E1779"/>
    <w:rsid w:val="002E5DC8"/>
    <w:rsid w:val="002F5C15"/>
    <w:rsid w:val="002F734C"/>
    <w:rsid w:val="00304937"/>
    <w:rsid w:val="0030792F"/>
    <w:rsid w:val="00307BB5"/>
    <w:rsid w:val="00314619"/>
    <w:rsid w:val="003279A4"/>
    <w:rsid w:val="00334517"/>
    <w:rsid w:val="00335478"/>
    <w:rsid w:val="00335AB4"/>
    <w:rsid w:val="00337550"/>
    <w:rsid w:val="00342BB9"/>
    <w:rsid w:val="003432A0"/>
    <w:rsid w:val="00382F17"/>
    <w:rsid w:val="003837F3"/>
    <w:rsid w:val="00385572"/>
    <w:rsid w:val="00394D40"/>
    <w:rsid w:val="003A226B"/>
    <w:rsid w:val="003A31CC"/>
    <w:rsid w:val="003A56E8"/>
    <w:rsid w:val="003B53BD"/>
    <w:rsid w:val="003B6D70"/>
    <w:rsid w:val="003C30F9"/>
    <w:rsid w:val="003C59AC"/>
    <w:rsid w:val="003D09F4"/>
    <w:rsid w:val="003D1C3A"/>
    <w:rsid w:val="003D3A8A"/>
    <w:rsid w:val="003D3B15"/>
    <w:rsid w:val="003D42EE"/>
    <w:rsid w:val="003E397C"/>
    <w:rsid w:val="003E3FA7"/>
    <w:rsid w:val="003E4798"/>
    <w:rsid w:val="003F38D7"/>
    <w:rsid w:val="003F3EAA"/>
    <w:rsid w:val="003F4818"/>
    <w:rsid w:val="003F769A"/>
    <w:rsid w:val="004042FD"/>
    <w:rsid w:val="00405F21"/>
    <w:rsid w:val="00406019"/>
    <w:rsid w:val="00411736"/>
    <w:rsid w:val="00412E0E"/>
    <w:rsid w:val="00413758"/>
    <w:rsid w:val="0042331B"/>
    <w:rsid w:val="0042576F"/>
    <w:rsid w:val="004260D8"/>
    <w:rsid w:val="004265F0"/>
    <w:rsid w:val="004356F0"/>
    <w:rsid w:val="0044524B"/>
    <w:rsid w:val="00452147"/>
    <w:rsid w:val="00452D92"/>
    <w:rsid w:val="00461836"/>
    <w:rsid w:val="004678EA"/>
    <w:rsid w:val="00467E3B"/>
    <w:rsid w:val="0047103B"/>
    <w:rsid w:val="004734A8"/>
    <w:rsid w:val="00474A83"/>
    <w:rsid w:val="00484A55"/>
    <w:rsid w:val="00484BEE"/>
    <w:rsid w:val="00487CC1"/>
    <w:rsid w:val="0049645C"/>
    <w:rsid w:val="004A1607"/>
    <w:rsid w:val="004A17AC"/>
    <w:rsid w:val="004A5671"/>
    <w:rsid w:val="004A7F60"/>
    <w:rsid w:val="004B3959"/>
    <w:rsid w:val="004C0855"/>
    <w:rsid w:val="004C2D7D"/>
    <w:rsid w:val="004C35FA"/>
    <w:rsid w:val="004C50A2"/>
    <w:rsid w:val="004D0BF8"/>
    <w:rsid w:val="004D1239"/>
    <w:rsid w:val="004D1C8B"/>
    <w:rsid w:val="004D33AE"/>
    <w:rsid w:val="004D3722"/>
    <w:rsid w:val="004F2A5F"/>
    <w:rsid w:val="005025CA"/>
    <w:rsid w:val="0050325D"/>
    <w:rsid w:val="00505B1A"/>
    <w:rsid w:val="005060F9"/>
    <w:rsid w:val="00513A0E"/>
    <w:rsid w:val="00523016"/>
    <w:rsid w:val="005230CA"/>
    <w:rsid w:val="00525926"/>
    <w:rsid w:val="00526080"/>
    <w:rsid w:val="0053108D"/>
    <w:rsid w:val="00537641"/>
    <w:rsid w:val="005406A7"/>
    <w:rsid w:val="0054302D"/>
    <w:rsid w:val="00552431"/>
    <w:rsid w:val="005560E8"/>
    <w:rsid w:val="005601D6"/>
    <w:rsid w:val="00571348"/>
    <w:rsid w:val="0058025F"/>
    <w:rsid w:val="00586040"/>
    <w:rsid w:val="00587913"/>
    <w:rsid w:val="00590815"/>
    <w:rsid w:val="0059502E"/>
    <w:rsid w:val="00597686"/>
    <w:rsid w:val="005A30F3"/>
    <w:rsid w:val="005B1631"/>
    <w:rsid w:val="005B1B70"/>
    <w:rsid w:val="005C248C"/>
    <w:rsid w:val="005C2946"/>
    <w:rsid w:val="005C4A8B"/>
    <w:rsid w:val="005C59DF"/>
    <w:rsid w:val="005D33FF"/>
    <w:rsid w:val="005D7BF1"/>
    <w:rsid w:val="005E169D"/>
    <w:rsid w:val="005E59B5"/>
    <w:rsid w:val="005F076D"/>
    <w:rsid w:val="005F0FBB"/>
    <w:rsid w:val="005F21AD"/>
    <w:rsid w:val="005F6E9B"/>
    <w:rsid w:val="00604EFF"/>
    <w:rsid w:val="0060581A"/>
    <w:rsid w:val="00607F7E"/>
    <w:rsid w:val="0061552E"/>
    <w:rsid w:val="006206A7"/>
    <w:rsid w:val="00624BF1"/>
    <w:rsid w:val="006268BD"/>
    <w:rsid w:val="00632F5B"/>
    <w:rsid w:val="00632FAF"/>
    <w:rsid w:val="006400EA"/>
    <w:rsid w:val="00645245"/>
    <w:rsid w:val="00654744"/>
    <w:rsid w:val="00656427"/>
    <w:rsid w:val="006577F6"/>
    <w:rsid w:val="006602DC"/>
    <w:rsid w:val="00661FE8"/>
    <w:rsid w:val="00665C98"/>
    <w:rsid w:val="006663BF"/>
    <w:rsid w:val="00666C64"/>
    <w:rsid w:val="00670877"/>
    <w:rsid w:val="00692100"/>
    <w:rsid w:val="00696881"/>
    <w:rsid w:val="006A2ACA"/>
    <w:rsid w:val="006A3C13"/>
    <w:rsid w:val="006A3DD7"/>
    <w:rsid w:val="006B4291"/>
    <w:rsid w:val="006B4F5B"/>
    <w:rsid w:val="006B644F"/>
    <w:rsid w:val="006B7572"/>
    <w:rsid w:val="006D0480"/>
    <w:rsid w:val="006E7DC2"/>
    <w:rsid w:val="006F4AAA"/>
    <w:rsid w:val="00703841"/>
    <w:rsid w:val="007113C0"/>
    <w:rsid w:val="00712124"/>
    <w:rsid w:val="00722285"/>
    <w:rsid w:val="00726508"/>
    <w:rsid w:val="00726BD0"/>
    <w:rsid w:val="00730861"/>
    <w:rsid w:val="00734A82"/>
    <w:rsid w:val="0073551A"/>
    <w:rsid w:val="007372ED"/>
    <w:rsid w:val="00737B53"/>
    <w:rsid w:val="0074074A"/>
    <w:rsid w:val="00741E03"/>
    <w:rsid w:val="00744455"/>
    <w:rsid w:val="007445B8"/>
    <w:rsid w:val="00750481"/>
    <w:rsid w:val="00750DBF"/>
    <w:rsid w:val="00750F1B"/>
    <w:rsid w:val="007512B8"/>
    <w:rsid w:val="0075196F"/>
    <w:rsid w:val="00751BFB"/>
    <w:rsid w:val="00752438"/>
    <w:rsid w:val="0075617F"/>
    <w:rsid w:val="00761DE5"/>
    <w:rsid w:val="00761EDA"/>
    <w:rsid w:val="0076359E"/>
    <w:rsid w:val="00765439"/>
    <w:rsid w:val="00771FD4"/>
    <w:rsid w:val="00773710"/>
    <w:rsid w:val="0077449F"/>
    <w:rsid w:val="00776E8E"/>
    <w:rsid w:val="00790C77"/>
    <w:rsid w:val="00791F9A"/>
    <w:rsid w:val="007921FC"/>
    <w:rsid w:val="007962FF"/>
    <w:rsid w:val="0079648F"/>
    <w:rsid w:val="0079719D"/>
    <w:rsid w:val="007A319E"/>
    <w:rsid w:val="007A394E"/>
    <w:rsid w:val="007A44CB"/>
    <w:rsid w:val="007A501F"/>
    <w:rsid w:val="007B0121"/>
    <w:rsid w:val="007B0395"/>
    <w:rsid w:val="007B2179"/>
    <w:rsid w:val="007B312C"/>
    <w:rsid w:val="007B4967"/>
    <w:rsid w:val="007B6951"/>
    <w:rsid w:val="007C14BE"/>
    <w:rsid w:val="007C793E"/>
    <w:rsid w:val="007D760A"/>
    <w:rsid w:val="007E2914"/>
    <w:rsid w:val="007E31F0"/>
    <w:rsid w:val="007E629C"/>
    <w:rsid w:val="007F51D0"/>
    <w:rsid w:val="007F6F55"/>
    <w:rsid w:val="00810105"/>
    <w:rsid w:val="0081357A"/>
    <w:rsid w:val="00815180"/>
    <w:rsid w:val="00815D15"/>
    <w:rsid w:val="00820979"/>
    <w:rsid w:val="00820CCF"/>
    <w:rsid w:val="0082212B"/>
    <w:rsid w:val="00825960"/>
    <w:rsid w:val="00826E86"/>
    <w:rsid w:val="00835699"/>
    <w:rsid w:val="00836A3F"/>
    <w:rsid w:val="00837D97"/>
    <w:rsid w:val="00837E57"/>
    <w:rsid w:val="00840E90"/>
    <w:rsid w:val="008418EA"/>
    <w:rsid w:val="00843245"/>
    <w:rsid w:val="00843430"/>
    <w:rsid w:val="008442E2"/>
    <w:rsid w:val="00850DBA"/>
    <w:rsid w:val="0085625E"/>
    <w:rsid w:val="008574CB"/>
    <w:rsid w:val="00857D7C"/>
    <w:rsid w:val="00863A3E"/>
    <w:rsid w:val="00871BEC"/>
    <w:rsid w:val="00872A43"/>
    <w:rsid w:val="00874640"/>
    <w:rsid w:val="008759A9"/>
    <w:rsid w:val="008759DA"/>
    <w:rsid w:val="00876F2F"/>
    <w:rsid w:val="0088561C"/>
    <w:rsid w:val="008859EE"/>
    <w:rsid w:val="00887999"/>
    <w:rsid w:val="00891F02"/>
    <w:rsid w:val="00895FCB"/>
    <w:rsid w:val="008A0451"/>
    <w:rsid w:val="008A5A7E"/>
    <w:rsid w:val="008A7E73"/>
    <w:rsid w:val="008B1DAB"/>
    <w:rsid w:val="008B3A55"/>
    <w:rsid w:val="008B4F04"/>
    <w:rsid w:val="008B74D7"/>
    <w:rsid w:val="008C10B3"/>
    <w:rsid w:val="008C1623"/>
    <w:rsid w:val="008C78A0"/>
    <w:rsid w:val="008D0A3E"/>
    <w:rsid w:val="008D1925"/>
    <w:rsid w:val="008D1D97"/>
    <w:rsid w:val="008F370A"/>
    <w:rsid w:val="009007B6"/>
    <w:rsid w:val="00912A5D"/>
    <w:rsid w:val="00916BB5"/>
    <w:rsid w:val="00924448"/>
    <w:rsid w:val="00931BC4"/>
    <w:rsid w:val="00934885"/>
    <w:rsid w:val="0093545F"/>
    <w:rsid w:val="00936BDE"/>
    <w:rsid w:val="00941A9A"/>
    <w:rsid w:val="00941DB2"/>
    <w:rsid w:val="00943190"/>
    <w:rsid w:val="009433DD"/>
    <w:rsid w:val="00944570"/>
    <w:rsid w:val="00947A73"/>
    <w:rsid w:val="009543DE"/>
    <w:rsid w:val="00967E4E"/>
    <w:rsid w:val="0098502A"/>
    <w:rsid w:val="009A4399"/>
    <w:rsid w:val="009B0D89"/>
    <w:rsid w:val="009D1D0B"/>
    <w:rsid w:val="00A02B9F"/>
    <w:rsid w:val="00A11780"/>
    <w:rsid w:val="00A14C26"/>
    <w:rsid w:val="00A16FD4"/>
    <w:rsid w:val="00A2660C"/>
    <w:rsid w:val="00A30ADC"/>
    <w:rsid w:val="00A320A7"/>
    <w:rsid w:val="00A460FB"/>
    <w:rsid w:val="00A4729C"/>
    <w:rsid w:val="00A511CD"/>
    <w:rsid w:val="00A51BB2"/>
    <w:rsid w:val="00A53EEF"/>
    <w:rsid w:val="00A5526D"/>
    <w:rsid w:val="00A5538D"/>
    <w:rsid w:val="00A578C6"/>
    <w:rsid w:val="00A618DC"/>
    <w:rsid w:val="00A676A9"/>
    <w:rsid w:val="00A7009A"/>
    <w:rsid w:val="00A7421D"/>
    <w:rsid w:val="00A753E7"/>
    <w:rsid w:val="00A779D9"/>
    <w:rsid w:val="00A84196"/>
    <w:rsid w:val="00A87422"/>
    <w:rsid w:val="00A9532A"/>
    <w:rsid w:val="00A95F6D"/>
    <w:rsid w:val="00AA6F25"/>
    <w:rsid w:val="00AB1EB3"/>
    <w:rsid w:val="00AB24CF"/>
    <w:rsid w:val="00AB48D3"/>
    <w:rsid w:val="00AB78E4"/>
    <w:rsid w:val="00AC0D89"/>
    <w:rsid w:val="00AC2F10"/>
    <w:rsid w:val="00AC4797"/>
    <w:rsid w:val="00AC5D54"/>
    <w:rsid w:val="00AD1DDB"/>
    <w:rsid w:val="00AD23D7"/>
    <w:rsid w:val="00AD4069"/>
    <w:rsid w:val="00AD6775"/>
    <w:rsid w:val="00AE3080"/>
    <w:rsid w:val="00AE6692"/>
    <w:rsid w:val="00AF2034"/>
    <w:rsid w:val="00AF4EF7"/>
    <w:rsid w:val="00AF7A9C"/>
    <w:rsid w:val="00B07F78"/>
    <w:rsid w:val="00B16C16"/>
    <w:rsid w:val="00B1717E"/>
    <w:rsid w:val="00B2026E"/>
    <w:rsid w:val="00B2589D"/>
    <w:rsid w:val="00B30926"/>
    <w:rsid w:val="00B312B3"/>
    <w:rsid w:val="00B33B8D"/>
    <w:rsid w:val="00B35641"/>
    <w:rsid w:val="00B3763D"/>
    <w:rsid w:val="00B47449"/>
    <w:rsid w:val="00B559A6"/>
    <w:rsid w:val="00B56264"/>
    <w:rsid w:val="00B6112C"/>
    <w:rsid w:val="00B66D7B"/>
    <w:rsid w:val="00B704B8"/>
    <w:rsid w:val="00B770F1"/>
    <w:rsid w:val="00B80F00"/>
    <w:rsid w:val="00B83F31"/>
    <w:rsid w:val="00B86099"/>
    <w:rsid w:val="00B92686"/>
    <w:rsid w:val="00B92D7F"/>
    <w:rsid w:val="00B9355D"/>
    <w:rsid w:val="00B96308"/>
    <w:rsid w:val="00BA01E3"/>
    <w:rsid w:val="00BB264A"/>
    <w:rsid w:val="00BB5605"/>
    <w:rsid w:val="00BB5FEA"/>
    <w:rsid w:val="00BC274B"/>
    <w:rsid w:val="00BC3354"/>
    <w:rsid w:val="00BC4322"/>
    <w:rsid w:val="00BC643C"/>
    <w:rsid w:val="00BD106C"/>
    <w:rsid w:val="00BD47C8"/>
    <w:rsid w:val="00BD58A4"/>
    <w:rsid w:val="00BD7C1A"/>
    <w:rsid w:val="00BE1FDC"/>
    <w:rsid w:val="00BE5D3E"/>
    <w:rsid w:val="00BF023D"/>
    <w:rsid w:val="00BF25B8"/>
    <w:rsid w:val="00BF2972"/>
    <w:rsid w:val="00BF4FAD"/>
    <w:rsid w:val="00C051EA"/>
    <w:rsid w:val="00C05EC7"/>
    <w:rsid w:val="00C12516"/>
    <w:rsid w:val="00C1510E"/>
    <w:rsid w:val="00C16E48"/>
    <w:rsid w:val="00C21800"/>
    <w:rsid w:val="00C27EE8"/>
    <w:rsid w:val="00C35EAC"/>
    <w:rsid w:val="00C406B0"/>
    <w:rsid w:val="00C43A64"/>
    <w:rsid w:val="00C453F8"/>
    <w:rsid w:val="00C47E37"/>
    <w:rsid w:val="00C56BB5"/>
    <w:rsid w:val="00C633F4"/>
    <w:rsid w:val="00C65C98"/>
    <w:rsid w:val="00C6790F"/>
    <w:rsid w:val="00C70017"/>
    <w:rsid w:val="00C705DD"/>
    <w:rsid w:val="00C7149C"/>
    <w:rsid w:val="00C71812"/>
    <w:rsid w:val="00C7376C"/>
    <w:rsid w:val="00C76C83"/>
    <w:rsid w:val="00C81B17"/>
    <w:rsid w:val="00C8731B"/>
    <w:rsid w:val="00C91F3E"/>
    <w:rsid w:val="00C939F6"/>
    <w:rsid w:val="00CA6F5F"/>
    <w:rsid w:val="00CB0B8B"/>
    <w:rsid w:val="00CB2AB3"/>
    <w:rsid w:val="00CC1A44"/>
    <w:rsid w:val="00CC1BD1"/>
    <w:rsid w:val="00CC2511"/>
    <w:rsid w:val="00CC2ABD"/>
    <w:rsid w:val="00CC4758"/>
    <w:rsid w:val="00CD07B7"/>
    <w:rsid w:val="00CD0A42"/>
    <w:rsid w:val="00CD1DE1"/>
    <w:rsid w:val="00CE3514"/>
    <w:rsid w:val="00CE4EAF"/>
    <w:rsid w:val="00D006AD"/>
    <w:rsid w:val="00D01B8C"/>
    <w:rsid w:val="00D02C3E"/>
    <w:rsid w:val="00D03F40"/>
    <w:rsid w:val="00D05031"/>
    <w:rsid w:val="00D07B16"/>
    <w:rsid w:val="00D26F66"/>
    <w:rsid w:val="00D3001A"/>
    <w:rsid w:val="00D31B23"/>
    <w:rsid w:val="00D33A32"/>
    <w:rsid w:val="00D350B9"/>
    <w:rsid w:val="00D37221"/>
    <w:rsid w:val="00D4039C"/>
    <w:rsid w:val="00D44182"/>
    <w:rsid w:val="00D5285E"/>
    <w:rsid w:val="00D636BA"/>
    <w:rsid w:val="00D65892"/>
    <w:rsid w:val="00D770D7"/>
    <w:rsid w:val="00D81274"/>
    <w:rsid w:val="00D90316"/>
    <w:rsid w:val="00DA0352"/>
    <w:rsid w:val="00DA28AB"/>
    <w:rsid w:val="00DA3BB2"/>
    <w:rsid w:val="00DB3FF7"/>
    <w:rsid w:val="00DB48E2"/>
    <w:rsid w:val="00DB5AE8"/>
    <w:rsid w:val="00DB7B3F"/>
    <w:rsid w:val="00DC0D91"/>
    <w:rsid w:val="00DE1375"/>
    <w:rsid w:val="00DE2995"/>
    <w:rsid w:val="00E001D4"/>
    <w:rsid w:val="00E02E06"/>
    <w:rsid w:val="00E02E3A"/>
    <w:rsid w:val="00E1253D"/>
    <w:rsid w:val="00E1412E"/>
    <w:rsid w:val="00E15D9D"/>
    <w:rsid w:val="00E37C3B"/>
    <w:rsid w:val="00E42800"/>
    <w:rsid w:val="00E4425E"/>
    <w:rsid w:val="00E44F7C"/>
    <w:rsid w:val="00E4631E"/>
    <w:rsid w:val="00E51DCC"/>
    <w:rsid w:val="00E56C4E"/>
    <w:rsid w:val="00E578BA"/>
    <w:rsid w:val="00E622F3"/>
    <w:rsid w:val="00E6392A"/>
    <w:rsid w:val="00E64FE2"/>
    <w:rsid w:val="00E9752F"/>
    <w:rsid w:val="00EA6693"/>
    <w:rsid w:val="00EA762B"/>
    <w:rsid w:val="00EB21CF"/>
    <w:rsid w:val="00EB373C"/>
    <w:rsid w:val="00EB5405"/>
    <w:rsid w:val="00EB63D8"/>
    <w:rsid w:val="00ED2003"/>
    <w:rsid w:val="00ED7B61"/>
    <w:rsid w:val="00EE012E"/>
    <w:rsid w:val="00EE4843"/>
    <w:rsid w:val="00EE48FB"/>
    <w:rsid w:val="00EE62E8"/>
    <w:rsid w:val="00EE6670"/>
    <w:rsid w:val="00F01526"/>
    <w:rsid w:val="00F01BF0"/>
    <w:rsid w:val="00F03158"/>
    <w:rsid w:val="00F07712"/>
    <w:rsid w:val="00F1317C"/>
    <w:rsid w:val="00F22669"/>
    <w:rsid w:val="00F24EE5"/>
    <w:rsid w:val="00F264AC"/>
    <w:rsid w:val="00F270A4"/>
    <w:rsid w:val="00F31C61"/>
    <w:rsid w:val="00F3268D"/>
    <w:rsid w:val="00F33FC1"/>
    <w:rsid w:val="00F3403C"/>
    <w:rsid w:val="00F34DC2"/>
    <w:rsid w:val="00F356F7"/>
    <w:rsid w:val="00F44E43"/>
    <w:rsid w:val="00F55DBD"/>
    <w:rsid w:val="00F6135B"/>
    <w:rsid w:val="00F62C7A"/>
    <w:rsid w:val="00F70692"/>
    <w:rsid w:val="00F75CEB"/>
    <w:rsid w:val="00F80C99"/>
    <w:rsid w:val="00F80FB5"/>
    <w:rsid w:val="00F83D03"/>
    <w:rsid w:val="00F861EE"/>
    <w:rsid w:val="00F87958"/>
    <w:rsid w:val="00F90538"/>
    <w:rsid w:val="00F9297A"/>
    <w:rsid w:val="00FA6DE0"/>
    <w:rsid w:val="00FA7790"/>
    <w:rsid w:val="00FA7961"/>
    <w:rsid w:val="00FA7F23"/>
    <w:rsid w:val="00FB255B"/>
    <w:rsid w:val="00FB57DA"/>
    <w:rsid w:val="00FB5BCF"/>
    <w:rsid w:val="00FC1D5C"/>
    <w:rsid w:val="00FC2B63"/>
    <w:rsid w:val="00FC5628"/>
    <w:rsid w:val="00FC591E"/>
    <w:rsid w:val="00FD3353"/>
    <w:rsid w:val="00FD65B2"/>
    <w:rsid w:val="00FE1925"/>
    <w:rsid w:val="00FE3BE1"/>
    <w:rsid w:val="00FF3132"/>
    <w:rsid w:val="00FF345D"/>
    <w:rsid w:val="00FF45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4BE75"/>
  <w15:docId w15:val="{F36AA265-BA8A-40D6-BDB7-4338ECF6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rsid w:val="0058025F"/>
    <w:rPr>
      <w:color w:val="0000FF" w:themeColor="hyperlink"/>
      <w:u w:val="single"/>
    </w:rPr>
  </w:style>
  <w:style w:type="table" w:styleId="TableGrid">
    <w:name w:val="Table Grid"/>
    <w:basedOn w:val="TableNormal"/>
    <w:uiPriority w:val="59"/>
    <w:rsid w:val="00A8419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C16"/>
    <w:rPr>
      <w:rFonts w:ascii="Tahoma" w:hAnsi="Tahoma" w:cs="Tahoma"/>
      <w:sz w:val="16"/>
      <w:szCs w:val="16"/>
    </w:rPr>
  </w:style>
  <w:style w:type="character" w:customStyle="1" w:styleId="BalloonTextChar">
    <w:name w:val="Balloon Text Char"/>
    <w:basedOn w:val="DefaultParagraphFont"/>
    <w:link w:val="BalloonText"/>
    <w:rsid w:val="00B16C16"/>
    <w:rPr>
      <w:rFonts w:ascii="Tahoma" w:hAnsi="Tahoma" w:cs="Tahoma"/>
      <w:sz w:val="16"/>
      <w:szCs w:val="16"/>
      <w:lang w:eastAsia="en-US"/>
    </w:rPr>
  </w:style>
  <w:style w:type="character" w:styleId="CommentReference">
    <w:name w:val="annotation reference"/>
    <w:basedOn w:val="DefaultParagraphFont"/>
    <w:rsid w:val="00B16C16"/>
    <w:rPr>
      <w:sz w:val="16"/>
      <w:szCs w:val="16"/>
    </w:rPr>
  </w:style>
  <w:style w:type="paragraph" w:styleId="CommentText">
    <w:name w:val="annotation text"/>
    <w:basedOn w:val="Normal"/>
    <w:link w:val="CommentTextChar"/>
    <w:rsid w:val="00B16C16"/>
    <w:rPr>
      <w:sz w:val="20"/>
      <w:szCs w:val="20"/>
    </w:rPr>
  </w:style>
  <w:style w:type="character" w:customStyle="1" w:styleId="CommentTextChar">
    <w:name w:val="Comment Text Char"/>
    <w:basedOn w:val="DefaultParagraphFont"/>
    <w:link w:val="CommentText"/>
    <w:rsid w:val="00B16C16"/>
    <w:rPr>
      <w:rFonts w:ascii="Times New Roman" w:hAnsi="Times New Roman"/>
      <w:lang w:eastAsia="en-US"/>
    </w:rPr>
  </w:style>
  <w:style w:type="paragraph" w:styleId="CommentSubject">
    <w:name w:val="annotation subject"/>
    <w:basedOn w:val="CommentText"/>
    <w:next w:val="CommentText"/>
    <w:link w:val="CommentSubjectChar"/>
    <w:rsid w:val="00B16C16"/>
    <w:rPr>
      <w:b/>
      <w:bCs/>
    </w:rPr>
  </w:style>
  <w:style w:type="character" w:customStyle="1" w:styleId="CommentSubjectChar">
    <w:name w:val="Comment Subject Char"/>
    <w:basedOn w:val="CommentTextChar"/>
    <w:link w:val="CommentSubject"/>
    <w:rsid w:val="00B16C16"/>
    <w:rPr>
      <w:rFonts w:ascii="Times New Roman" w:hAnsi="Times New Roman"/>
      <w:b/>
      <w:bCs/>
      <w:lang w:eastAsia="en-US"/>
    </w:rPr>
  </w:style>
  <w:style w:type="character" w:styleId="FollowedHyperlink">
    <w:name w:val="FollowedHyperlink"/>
    <w:basedOn w:val="DefaultParagraphFont"/>
    <w:rsid w:val="00666C64"/>
    <w:rPr>
      <w:color w:val="800080" w:themeColor="followedHyperlink"/>
      <w:u w:val="single"/>
    </w:rPr>
  </w:style>
  <w:style w:type="paragraph" w:styleId="Header">
    <w:name w:val="header"/>
    <w:basedOn w:val="Normal"/>
    <w:link w:val="HeaderChar"/>
    <w:unhideWhenUsed/>
    <w:rsid w:val="003D42EE"/>
    <w:pPr>
      <w:tabs>
        <w:tab w:val="center" w:pos="4536"/>
        <w:tab w:val="right" w:pos="9072"/>
      </w:tabs>
    </w:pPr>
  </w:style>
  <w:style w:type="character" w:customStyle="1" w:styleId="HeaderChar">
    <w:name w:val="Header Char"/>
    <w:basedOn w:val="DefaultParagraphFont"/>
    <w:link w:val="Header"/>
    <w:rsid w:val="003D42EE"/>
    <w:rPr>
      <w:rFonts w:ascii="Times New Roman" w:hAnsi="Times New Roman"/>
      <w:sz w:val="24"/>
      <w:szCs w:val="24"/>
      <w:lang w:eastAsia="en-US"/>
    </w:rPr>
  </w:style>
  <w:style w:type="paragraph" w:styleId="Footer">
    <w:name w:val="footer"/>
    <w:basedOn w:val="Normal"/>
    <w:link w:val="FooterChar"/>
    <w:uiPriority w:val="99"/>
    <w:unhideWhenUsed/>
    <w:rsid w:val="003D42EE"/>
    <w:pPr>
      <w:tabs>
        <w:tab w:val="center" w:pos="4536"/>
        <w:tab w:val="right" w:pos="9072"/>
      </w:tabs>
    </w:pPr>
  </w:style>
  <w:style w:type="character" w:customStyle="1" w:styleId="FooterChar">
    <w:name w:val="Footer Char"/>
    <w:basedOn w:val="DefaultParagraphFont"/>
    <w:link w:val="Footer"/>
    <w:uiPriority w:val="99"/>
    <w:rsid w:val="003D42E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1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i.janes@agri.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neli.tikk@agri.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ur-lex.europa.eu" TargetMode="External"/><Relationship Id="rId4" Type="http://schemas.openxmlformats.org/officeDocument/2006/relationships/webSettings" Target="webSettings.xml"/><Relationship Id="rId9" Type="http://schemas.openxmlformats.org/officeDocument/2006/relationships/hyperlink" Target="mailto:laura.ojava@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DD9C2-9A57-47A7-BBE6-5A40A575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3555</Words>
  <Characters>25659</Characters>
  <Application>Microsoft Office Word</Application>
  <DocSecurity>4</DocSecurity>
  <Lines>213</Lines>
  <Paragraphs>58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Päivi Ojala</cp:lastModifiedBy>
  <cp:revision>2</cp:revision>
  <cp:lastPrinted>2018-06-13T08:08:00Z</cp:lastPrinted>
  <dcterms:created xsi:type="dcterms:W3CDTF">2018-10-05T12:26:00Z</dcterms:created>
  <dcterms:modified xsi:type="dcterms:W3CDTF">2018-10-05T12:26:00Z</dcterms:modified>
</cp:coreProperties>
</file>